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724/2022 vom 16. Dezember 2022</w:t>
      </w:r>
    </w:p>
    <w:p>
      <w:r>
        <w:t>Bundesgericht, 2022-12-16, DE</w:t>
      </w:r>
    </w:p>
    <w:p>
      <w:r>
        <w:rPr>
          <w:b/>
        </w:rPr>
        <w:t xml:space="preserve">Quelle: </w:t>
      </w:r>
      <w:r>
        <w:t>https://mcp.opencaselaw.ch/entscheid/bger_6B_724_2022</w:t>
      </w:r>
    </w:p>
    <w:p>
      <w:r>
        <w:t>FR: TF 6B 724/2022 du 16 décembre 2022</w:t>
      </w:r>
    </w:p>
    <w:p>
      <w:r>
        <w:t>IT: TF 6B 724/2022 del 16 dicembre 2022</w:t>
      </w:r>
    </w:p>
    <w:p>
      <w:pPr>
        <w:pStyle w:val="Heading2"/>
      </w:pPr>
      <w:r>
        <w:t>Regeste</w:t>
      </w:r>
    </w:p>
    <w:p>
      <w:r>
        <w:t>Gültigkeit der Einsprache (Strafbefehl [SVG-Widerhandlungen]); Anspruch auf ein unabhängiges Gericht etc. | Strafprozess</w:t>
      </w:r>
    </w:p>
    <w:p>
      <w:pPr>
        <w:pStyle w:val="Heading2"/>
      </w:pPr>
      <w:r>
        <w:t>Erwägungen</w:t>
      </w:r>
    </w:p>
    <w:p>
      <w:r>
        <w:rPr>
          <w:b/>
        </w:rPr>
        <w:t>E. 1</w:t>
      </w:r>
    </w:p>
    <w:p>
      <w:r>
        <w:t>Eine Beschwerde an das Bundesgericht ist innert 30 Tagen nach der Eröffnung der vollständigen Ausfertigung des angefochtenen Entscheids in einer Amtssprache einzureichen ( Art. 54 und Art. 100 Abs. 1 BGG ). Der vorinstanzliche Entscheid vom 11. Mai 2022 wurde der Post am 13. Mai 2022 zum Versand übergeben. Die Beschwerde in Strafsachen vom 4. Juni 2022 erfolgte somit fristgerecht. Die Eingabe des Beschwerdeführers vom 30. November 2022, mit welcher dieser auszugsweise die Kopie eines Strafbefehls der Staatsanwaltschaft 1 Luzern vom 3. November 2022 gegen sich wegen mehrfacher übler Nachrede einreichte, mit welchem die Probezeit des Strafbefehls der Staatsanwaltschaft 1 Luzern vom 3. Dezember 2021 (siehe Sachverhalt lit. A oben) von zwei Jahren um ein Jahr auf drei Jahre verlängert wurde, erfolgte damit verspätet. Weiterungen dazu erübrigen sich.</w:t>
      </w:r>
    </w:p>
    <w:p>
      <w:r>
        <w:rPr>
          <w:b/>
        </w:rPr>
        <w:t>E. 2</w:t>
      </w:r>
    </w:p>
    <w:p>
      <w:r>
        <w:t>Anfechtungsobjekt der vorliegenden Beschwerde in Strafsachen an das Bundesgericht ist ausschliesslich die Verfügung des Kantonsgerichts des Kantons Luzern vom 11. Mai 2022 als letztinstanzliches kantonales Urteil (vgl. Art. 80 Abs. 1 BGG ). Soweit sich der Beschwerdeführer nicht auf dieses Urteil bezieht, kann von vornherein nicht auf seine Beschwerde eingetreten werden. Dies trifft namentlich dort zu, wo er sich direkt gegen den Strafbefehl (namentlich Beschwerde S. 8 ff.), die Verfügung der Erstinstanz (etwa Beschwerde S. 4 Rz. 11) oder gegen Auskünfte des Strassenverkehrsamts Luzern (Beschwerde S. 21 ff.) wendet.</w:t>
      </w:r>
    </w:p>
    <w:p>
      <w:r>
        <w:rPr>
          <w:b/>
        </w:rPr>
        <w:t>E. 3.1</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143 I 377 E. 1.2 ; 142 I 99 E. 1.7.1; 140 III 86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oder rein appellatorische Kritik am angefochtenen Entscheid tritt das Bundesgericht nicht ein ( BGE 147 IV 73 E. 4.1.2; 146 IV 88 E. 1.3.1; je mit Hinweisen). Es darf auch von Laien erwartet werden, auf die vorinstanzliche Begründung konkret einzugehen (Urteile 6B_879/2021 vom 5. Oktober 2022 E. 5.1; 6B_1046/2021 vom 2. August 2022 E. 2.2.1; 6B_728/2021 vom 6. Oktober 2021 E. 1.3; je mit Hinweisen).</w:t>
      </w:r>
    </w:p>
    <w:p>
      <w:r>
        <w:rPr>
          <w:b/>
        </w:rPr>
        <w:t>E. 3.2</w:t>
      </w:r>
    </w:p>
    <w:p>
      <w:r>
        <w:t>Der Beschwerdeführer setzt sich mit der vorinstanzlichen Begründung nicht ansatzweise auseinander. Vielmehr trägt er, wie vor einer kantonalen Berufungsinstanz, seine eigene Sicht der Dinge vor und übt sich in ausschweifender Kritik an Umständen, die bereits im vorinstanzliche Urteil nicht Verfahrensgegenstand waren. Dies gilt namentlich für seine grundsätzliche Kritik am schweizerischen System der Anerkennung von ausländischen Führerausweisen (Beschwerde S. 17 ff.) und seiner negativen Erfahrungen im Zusammenhang mit der Fahrprüfung, die "achtlos" vom Experten abgebrochen worden sei, bzw. seinen diesbezüglichen Kontaktaufnahmen mit dem UVEK und dem Bundesrat (Beschwerde S. 20 Rz. 11 ff.; vgl. auch die Ausführungen unter dem Titel: "Gründe, warum die Beschwerdeführerin [sic] die Nase voll hat vom Fahrprozess", Beschwerde S. 21 ff. Rz. 1 ff.). Das vorinstanzliche Urteil behandelt ausführlich die Gültigkeit der Einsprache des Beschwerdeführers gegen den Strafbefehl vom 3. Dezember 2021. Zu diesen Erwägungen der Vorinstanz äussert sich der Beschwerdeführer in seiner weitschweifigen Beschwerdeschrift, welche etwa eine einleitende Liste von Begriffsdefinitionen (Beschwerde S. 1 f. Rz. 1-12) sowie diverse Verweise auf eine amerikanische Fernsehshow mit Minutenangaben (Beschwerde S. 6 f. Rz. 17 ff.) enthält, nicht. Was der Beschwerdeführer schliesslich zur Gerichtsbarkeit ausführt, wobei es ihm hauptsächlich um die "Beschlagnahme" seines indischen Führerscheins geht, bezieht sich ebenfalls nicht auf die vorinstanzliche Begründung, zumal er, nach eigenen Angaben, gegen diese in einem separaten "Klageverfahren" rekurriert (Beschwerde S. 16 Rz. 2). Die Beschwerde genügt damit den Begründungsanforderungen von Art. 42 Abs. 2 BGG nicht. Im Übrigen ist keine Verletzung von Bundes- oder Völkerrecht ersichtlich. Namentlich ist eine Diskriminierung des Beschwerdeführers nicht im Ansatz erkennbar. Es kann im Weiteren auf die zutreffenden Erwägungen der Vorinstanz im angefochtenen Urteil verwiesen werden (vgl. Art. 109 Abs. 3 BGG ), die sich in den Erwägungen 3.2 und 3.3 zu den Anforderungen an eine Laienbeschwerde und die Unbegründetheit der Vorbringen des Beschwerdeführers äussert. Er zeige in seiner Beschwerde an die Vorinstanz nicht auf, inwiefern der Inhalt der angefochtenen Verfügung falsch sein soll und, namentlich mit Blick auf die Zustellfiktion, weshalb er angesichts der im Vorfeld der Zustellung des Strafbefehls erfolgten polizeilichen Einvernahme zu der Sache nicht jederzeit mit einer solchen habe rechnen müssen. In der Erwägung 3.4 legt die Vorinstanz zudem zutreffend dar, dass die - auch vor Bundesgericht erneut beanstandete - einmalige Zustellung des Strafbefehls mit eingeschriebener Post in Übereinstimmung mit der StPO ist. Mit Blick auf die beantragte Durchführung einer mündlichen Hauptverhandlung gilt es schliesslich festzuhalten, dass die Vorinstanz hierzu nicht verpflichtet war (siehe nur Urteil 6B_1066/2021 vom 27. Januar 2022 E. 1.3 und 1.4 mit Hinweisen). Soweit er sich mit diesem Antrag auf das bundesgerichtliche Verfahren bezieht, gilt es festzuhalten, dass in diesem eine Parteiverhandlung nur ausnahmsweise vorgesehen ist (vgl. Art. 57 BGG ), wofür vorliegend nicht ansatzweise Anlass besteht.</w:t>
      </w:r>
    </w:p>
    <w:p>
      <w:r>
        <w:rPr>
          <w:b/>
        </w:rPr>
        <w:t>E. 4</w:t>
      </w:r>
    </w:p>
    <w:p>
      <w:r>
        <w:t>Die Beschwerde ist im Verfahren gemäss Art. 109 BGG abzuweisen, soweit darauf eingetreten werden kann. Bei diesem Ausgang sind die bundesgerichtlichen Verfahrenskosten dem Beschwerdeführer aufzuerlegen ( Art. 66 Abs. 1 BGG ). Das Gesuch um unentgeltliche Rechtspflege ist zufolge Aussichtslosigkeit abzuweisen ( Art. 64 Abs. 1 und 2 BGG ). Im Übrigen übersteigen die im Gesuch genannten liquiden Vermögenswerte von rund Fr. 82'000.-- einen angemessenen Notgroschen um ein Vielfaches, zumal der Beschwerdeführer nicht aufzeigt, dass dieses vorsorgerechtlich oder sonstwie verbindlich und unwiderruflich an einen Zweck gebunden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