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6B_723/2020 vom 2. September 2020</w:t>
      </w:r>
    </w:p>
    <w:p>
      <w:r>
        <w:t>Bundesgericht, 2020-09-02, FR</w:t>
      </w:r>
    </w:p>
    <w:p>
      <w:r>
        <w:rPr>
          <w:b/>
        </w:rPr>
        <w:t xml:space="preserve">Quelle: </w:t>
      </w:r>
      <w:r>
        <w:t>https://mcp.opencaselaw.ch/entscheid/bger_6B_723_2020</w:t>
      </w:r>
    </w:p>
    <w:p>
      <w:r>
        <w:t>FR: TF 6B_723/2020 du 2 septembre 2020</w:t>
      </w:r>
    </w:p>
    <w:p>
      <w:r>
        <w:t>IT: TF 6B_723/2020 del 2 settembre 2020</w:t>
      </w:r>
    </w:p>
    <w:p>
      <w:pPr>
        <w:pStyle w:val="Heading2"/>
      </w:pPr>
      <w:r>
        <w:t>Erwägungen</w:t>
      </w:r>
    </w:p>
    <w:p>
      <w:r>
        <w:rPr>
          <w:b/>
        </w:rPr>
        <w:t>E. 1</w:t>
      </w:r>
    </w:p>
    <w:p>
      <w:r>
        <w:t>Le recourant conteste avoir formé une opposition tardive. Il formule plusieurs griefs à cet égard.</w:t>
      </w:r>
    </w:p>
    <w:p>
      <w:r>
        <w:rPr>
          <w:b/>
        </w:rPr>
        <w:t>E. 1.1.1</w:t>
      </w:r>
    </w:p>
    <w:p>
      <w:r>
        <w:t>Conformément à l' art. 354 al. 1 let. a CPP , le prévenu peut former opposition contre l'ordonnance pénale devant le ministère public, par écrit et dans les dix jours.</w:t>
      </w:r>
    </w:p>
    <w:p>
      <w:r>
        <w:t>Selon l' art. 85 CPP , sauf disposition contraire du CPP, les communications des autorités pénales sont notifiées en la forme écrite (al. 1); les autorités pénales notifient leurs prononcés - dont les ordonnances (cf. art. 80 al. 1 2 ème phrase CPP) - par lettre signature ou par tout autre mode de communication impliquant un accusé de réception, notamment par l'entremise de la police (al. 2); le prononcé est réputé notifié lorsqu'il est remis au destinataire, à l'un de ses employés ou à toute personne de plus de seize ans vivant dans le même ménage, les directives des autorités pénales concernant une communication à adresser personnellement au destinataire étant réservées (al. 3). Toute communication doit être notifiée au domicile, au lieu de résidence habituelle ou au siège du destinataire ( art. 87 al. 1 CPP ).</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Il est admis que la personne concernée doit s'attendre à la remise d'un prononcé lorsqu'elle est au courant qu'elle fait l'objet d'une instruction pénale au sens de l' art. 309 CPP (arrêts 6B_934/2018 du 9 novembre 2018 consid. 2.1; 6B_233/2017 du 12 décembre 2017 consid. 2.1; 6B_1032/2015 du 25 mai 2016 consid. 1.1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6B_934/2018 du 9 novembre 2018 consid. 2.1; 6B_1032/2015 du 25 mai 2016 consid. 1.1; 6B_448/2014 du 30 octobre 2014 consid. 1.2).</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141 II 429 consid. 3.1 p. 431 s.; 139 IV 228 consid. 1.1 p. 230 et les références citées).</w:t>
      </w:r>
    </w:p>
    <w:p>
      <w:r>
        <w:rPr>
          <w:b/>
        </w:rPr>
        <w:t>E. 1.1.2</w:t>
      </w:r>
    </w:p>
    <w:p>
      <w:r>
        <w:t>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rPr>
          <w:b/>
        </w:rPr>
        <w:t>E. 1.2</w:t>
      </w:r>
    </w:p>
    <w:p>
      <w:r>
        <w:t>Relevant que le recourant avait été entendu en qualité de prévenu de fabrication et utilisation d'une fausse plaque d'immatriculation par la police le 24 septembre 2019, la cour cantonale a retenu qu'il devait s'attendre à recevoir une ordonnance pénale et prendre les dispositions pour en avoir connaissance. Elle a considéré que, quand bien même la fille du recourant aurait relevé l'avis de retrait et aurait omis de le lui remettre, cet avis était entré dans sa sphère de puissance et il lui appartenait de prendre toutes les mesures utiles pour aller retirer le pli dans le délai de garde.</w:t>
      </w:r>
    </w:p>
    <w:p>
      <w:r>
        <w:rPr>
          <w:b/>
        </w:rPr>
        <w:t>E. 1.3.1</w:t>
      </w:r>
    </w:p>
    <w:p>
      <w:r>
        <w:t>C'est en vain que le recourant prétend qu'il ne pouvait pas s'attendre à recevoir une ordonnance pénale. Dans la mesure où il est établi et incontesté qu'il a été entendu par la police en qualité de prévenu des infractions en cause le 24 septembre 2019, il devait se rendre compte qu'il était partie à une procédure pénale et donc s'attendre à recevoir un prononcé dans ce cadre-là (cf. également, formulaire "droits et obligations du prévenu" signé, du même jour, annexé au PV d'audition). Les affirmations purement appellatoires du recourant, selon lesquelles il pensait ne rien avoir à se reprocher et ne</w:t>
      </w:r>
    </w:p>
    <w:p>
      <w:r>
        <w:t>"s'attendait pas à être condamné pour faux dans les titres" , sont irrecevables.</w:t>
      </w:r>
    </w:p>
    <w:p>
      <w:r>
        <w:rPr>
          <w:b/>
        </w:rPr>
        <w:t>E. 1.3.2</w:t>
      </w:r>
    </w:p>
    <w:p>
      <w:r>
        <w:t>Contrairement à ce que prétend le recourant, la cour cantonale a expressément tenu compte de l'attestation de sa fille majeure, produite en première instance, selon laquelle elle déclarait avoir relevé le courrier et omis de lui remettre l'avis de retrait qui était resté mélangé avec du courrier personnel et publicitaire. La cour cantonale a toutefois retenu que le recourant ne pouvait pas se prévaloir de ce comportement pour s'opposer à la fiction de la notification.</w:t>
      </w:r>
    </w:p>
    <w:p>
      <w:r>
        <w:t>Un tel raisonnement ne prête pas flanc à la critique. Dès lors que le recourant se savait partie à une procédure, il lui appartenait de relever son courrier, respectivement de prendre toutes les mesures pour que celui-ci lui parvienne néanmoins, par exemple en s'assurant de prendre connaissance du courrier relevé par les membres du foyer ou en indiquant une adresse de notification chez un représentant (cf. arrêt 6B_1129/2019 du 27 novembre 2019 consid. 1.3). Faute d'avoir pris de telles mesures, le recourant a failli à son devoir procédural, de sorte qu'il ne saurait se prévaloir d'une négligence de sa fille. Sur ce point, il e st précisé que l' art. 85 al. 4 CPP consacre une exception au principe de la prise de connaissance personnelle voulue par le législateur ( ATF 144 IV 57 consid. 2.3.2 p. 63).</w:t>
      </w:r>
    </w:p>
    <w:p>
      <w:r>
        <w:t>L'empêchement dont se prévaut le recourant aurait tout au plus pu être examiné dans le cadre d'une éventuelle demande de restitution du délai au sens de l' art. 94 CPP (cf. ATF 143 I 284 consid. 1 p. 286 s.), laquelle ne fait pas l'objet de la présente cause.</w:t>
      </w:r>
    </w:p>
    <w:p>
      <w:r>
        <w:rPr>
          <w:b/>
        </w:rPr>
        <w:t>E. 1.3.3</w:t>
      </w:r>
    </w:p>
    <w:p>
      <w:r>
        <w:t>Le recourant prétend, sous couvert d'une violation de son droit d'être entendu et de l' art. 6 CEDH , qu'on lui imposerait une</w:t>
      </w:r>
    </w:p>
    <w:p>
      <w:r>
        <w:t>"obligation de diligence (...) tout simplement impossible à mettre en oeuvre" . Ce faisant, il ne fait que réitérer sa critique relative à l'application de l' art. 85 al. 4 let. a CPP instaurant une fiction de notification aux conditions exposées</w:t>
      </w:r>
    </w:p>
    <w:p>
      <w:r>
        <w:t>supra (consid. 1.1.1). Son argumentation déduite d'une violation de son droit d'être entendu ne satisfait pas aux exigences accrues de l' art. 106 al. 2 LTF . En tout état, il est relevé que, de jurisprudence constante, la validité d'une ordonnance pénale au regard des droits garantis par l' art. 6 CEDH est admise dans la mesure où, par une simple opposition qui n'a pas besoin d'être motivée ( art. 354 al. 2 CPP ), le prévenu condamné peut saisir un tribunal offrant les garanties de l' art. 6 CEDH (arrêt de la CourEDH</w:t>
      </w:r>
    </w:p>
    <w:p>
      <w:r>
        <w:t>Belilos c. Suisse du 29 avril 1988, par. 68; ATF 124 IV 234 consid. 3c p. 238 s.; arrêts 6B_314/2012 du 18 février 2013 consid. 2.2.2; 6B_281/2012 du 9 octobre 2012 consid. 3.2). Pour le surplus, le recourant ne forme aucun grief sous l'angle de la garantie d'accès au juge et du droit à un procès équitable.</w:t>
      </w:r>
    </w:p>
    <w:p>
      <w:r>
        <w:rPr>
          <w:b/>
        </w:rPr>
        <w:t>E. 1.4</w:t>
      </w:r>
    </w:p>
    <w:p>
      <w:r>
        <w:t>En définitive, c'est sans violer le droit fédéral que la cour cantonale a considéré que l'ordonnance pénale était réputée notifiée au recourant à l'échéance du délai de 7 jours à compter de la tentative infructueuse de remise du pli, le 11 novembre 2019, de sorte que l'opposition du 31 janvier 2020 était tardive, partant irrecevable.</w:t>
      </w:r>
    </w:p>
    <w:p>
      <w:r>
        <w:rPr>
          <w:b/>
        </w:rPr>
        <w:t>E. 2</w:t>
      </w:r>
    </w:p>
    <w:p>
      <w:r>
        <w:t>Il s'ensuit que le recours est rejeté, dans la mesure où il est recevable. Comme il était dépourvu de chances de succès, la demande d'assistance judiciaire doit être rejetée ( art. 64 al. 1 LTF ). Le recourant, qui succombe, supportera les frais judiciaires ( art. 66 al. 1 LTF ),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