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721/2016 vom 10. März 2017</w:t>
      </w:r>
    </w:p>
    <w:p>
      <w:r>
        <w:t>Bundesgericht, 2017-03-10, FR</w:t>
      </w:r>
    </w:p>
    <w:p>
      <w:r>
        <w:rPr>
          <w:b/>
        </w:rPr>
        <w:t xml:space="preserve">Quelle: </w:t>
      </w:r>
      <w:r>
        <w:t>https://mcp.opencaselaw.ch/entscheid/bger_6B_721_2016</w:t>
      </w:r>
    </w:p>
    <w:p>
      <w:r>
        <w:t>FR: TF 6B 721/2016 du 10 mars 2017</w:t>
      </w:r>
    </w:p>
    <w:p>
      <w:r>
        <w:t>IT: TF 6B 721/2016 del 10 marzo 2017</w:t>
      </w:r>
    </w:p>
    <w:p>
      <w:pPr>
        <w:pStyle w:val="Heading2"/>
      </w:pPr>
      <w:r>
        <w:t>Regeste</w:t>
      </w:r>
    </w:p>
    <w:p>
      <w:r>
        <w:t>Ordonnance de classement (lésions corporelles simples)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et les arrêts cités).</w:t>
      </w:r>
    </w:p>
    <w:p>
      <w:r>
        <w:rPr>
          <w:b/>
        </w:rPr>
        <w:t>E. 1.2</w:t>
      </w:r>
    </w:p>
    <w:p>
      <w:r>
        <w:t>En l'espèce, le recourant a participé à la procédure cantonale en tant que partie plaignante. Il allègue que l'ordonnance de classement a une incidence sur les prétentions civiles qu'il pourrait faire valoir à l'encontre de l'intimée. Dans le cas particulier, bien que le recourant n'ait pas chiffré même approximativement ses prétentions civiles, il apparaît d'emblée, au vu des nombreuses lésions subies telles qu'elles ressortent des attestations médicales, que la décision de classement est, en soi, de nature à influencer négativement le jugement des prétentions en réparation du dommage et du tort moral que le recourant pourrait élever à l'encontre de l'intimée du chef de lésions corporelles par négligence. Cela suffit, au stade de la recevabilité, pour reconnaître au recourant la qualité pour recourir au sens de l'art. 81 al. 1 let. b ch. 5 LTF ( ATF 141 IV 1 consid. 1.1 p. 4).</w:t>
      </w:r>
    </w:p>
    <w:p>
      <w:r>
        <w:rPr>
          <w:b/>
        </w:rPr>
        <w:t>E. 2</w:t>
      </w:r>
    </w:p>
    <w:p>
      <w:r>
        <w:t>Le recourant se plaint d'une violation de l'interdiction de l'arbitraire et du principe " in dubio pro duriore " en lien avec l'application de l' art. 319 CPP . En substance, il reproche à l'autorité précédente d'avoir violé l' art. 319 al. 1 CPP en s'écartant des conclusions de l'expertise médico-légale.</w:t>
      </w:r>
    </w:p>
    <w:p>
      <w:r>
        <w:rPr>
          <w:b/>
        </w:rPr>
        <w:t>E. 2.1</w:t>
      </w:r>
    </w:p>
    <w:p>
      <w:r>
        <w:t>Selon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 art. 319 al. 2 CPP prévoit encore deux autres motifs de classement exceptionnels (intérêt de la victime ou consentement de celle-ci). Le principe " in dubio pro duriore " découle du principe de la légalité ( art. 5 al. 1 Cst. et 2 al. 2 CPP en relation avec les art. 319 al. 1 et 324 CPP ; ATF 138 IV 86 consid. 4.2 p. 91). Il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4.1.1 - 4.1.2 p. 90 s.; arrêt 6B_551/2015 du 24 février 2016 consid. 3). Le principe " in dubio pro duriore " exige donc simplement qu'en cas de doute, la procédure se poursuive. En effet, en cas de doute, ce n'est pas à l'autorité d'instruction ou d'accusation mais au juge matériellement compétent qu'il appartient de se prononcer. Au stade de la mise en accusation, le principe " in dubio pro reo ", relatif à l'appréciation de preuves par l'autorité de jugement, ne s'applique donc pas. C'est au contraire la maxime " in dubio pro duriore " qui impose, en cas de doute, une mise en accusation. Ce principe vaut également pour l'autorité judiciaire chargée de l'examen d'une décision de classement ( ATF 138 IV 86 consid. 4.1.1 p. 91).</w:t>
      </w:r>
    </w:p>
    <w:p>
      <w:r>
        <w:rPr>
          <w:b/>
        </w:rPr>
        <w:t>E. 2.2</w:t>
      </w:r>
    </w:p>
    <w:p>
      <w:r>
        <w:t>L'autorité précédente a considéré que les soupçons étaient insuffisants pour prononcer la mise en accusation de l'intimée. Le procureur était fondé à retenir, au vu des déclarations de la prévenue et de sa soeur, passagère du véhicule, que le recourant avait chuté en arrière juste avant l'impact du véhicule contre son épaule droite, car selon l'expertise médico-légale cette hypothèse ne pouvait pas être exclue.</w:t>
      </w:r>
    </w:p>
    <w:p>
      <w:r>
        <w:rPr>
          <w:b/>
        </w:rPr>
        <w:t>E. 2.3</w:t>
      </w:r>
    </w:p>
    <w:p>
      <w:r>
        <w:t>Au vu des déclarations contradictoires des parties sur les circonstances de l'accident, une mission d'expertise a été mise en oeuvre pour déterminer, sur la base des lésions que présentait le recourant, l'hypothèse la plus probable s'agissant de savoir si le recourant avait été heurté frontalement en traversant la chaussée (question 3), s'il avait été heurté frontalement après avoir été déséquilibré vers l'arrière (question 4) ou s'il se trouvait déjà allongé sur le sol au moment du choc entre le véhicule et lui-même (question 5) et quelle était l'hypothèse la plus probable si les lésions étaient compatibles avec les trois hypothèses (question 6). Après avoir écarté l'hypothèse présentée à la question 5, les experts ont considéré que la version avancée par le recourant, à savoir un impact contre le membre supérieur droit, suivi d'une chute sur la chaussée, était celle qui expliquait à la fois la localisation, le type de lésions et les dégâts sur le véhicule, l'hypothèse d'un heurt au niveau de l'épaule droite lors d'une chute ne pouvant toutefois pas être totalement exclue. En réponse à la question posée de l'hypothèse la plus probable, les experts ont déclaré que l'hypothèse correspondant à la version du recourant était la seule qui soit entièrement compatible avec le tableau lésionnel et avec les dégâts sur la voiture. Il n'était toutefois pas possible de formellement exclure l'hypothèse émise par l'intimée.</w:t>
      </w:r>
    </w:p>
    <w:p>
      <w:r>
        <w:rPr>
          <w:b/>
        </w:rPr>
        <w:t>E. 2.4</w:t>
      </w:r>
    </w:p>
    <w:p>
      <w:r>
        <w:t>S'il est exact que les experts n'ont exclu aucune version, ils ont exposé les motifs pour lesquels seule la version du recourant était entièrement compatible avec le tableau lésionnel, répondant ainsi à la question qui leur était posée de déterminer la variante la plus probable des trois avancées. Il découle clairement de cette expertise qu'un doute subsiste sur la responsabilité pénale de l'intimée dans cet accident qui doit conduire à la poursuite de la procédure. En privilégiant la version de l'intimée au motif qu'elle n'avait pas été exclue par les experts plutôt que celle du recourant pour en conclure que les soupçons étaient insuffisants, la cour cantonale a retenu implicitement, la version la plus favorable à la prévenue. Or, au stade du classement, une telle application du principe " in dubio pro reo " ne se justifie pas. La cour cantonale a fait une fausse application du principe " in dubio pro duriore " en procédant en réalité à une appréciation des preuves qui relève de la compétence du juge du fond.</w:t>
      </w:r>
    </w:p>
    <w:p>
      <w:r>
        <w:rPr>
          <w:b/>
        </w:rPr>
        <w:t>E. 3</w:t>
      </w:r>
    </w:p>
    <w:p>
      <w:r>
        <w:t>Le recours est admis. L'arrêt attaqué est annulé et la cause est renvoyée à la cour cantonale pour nouvelle décision dans le sens des considérants. Les frais judiciaires seront mis pour moitié à la charge de l'intimée qui a conclu au rejet du recours, le canton de Vaud n'ayant pas à en supporter ( art. 66 al. 1 et 4 LTF ). Le recourant peut prétendre à une indemnité de dépens, à la charge pour moitié chacun, d'une part, du canton de Vaud et, d'autre part, de l'intimée ( art. 68 al. 1 et 2 LTF ). L'intimée ne saurait ainsi obtenir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