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6B_720/2007 vom 29. März 2008</w:t>
      </w:r>
    </w:p>
    <w:p>
      <w:r>
        <w:t>Bundesgericht, 2008-03-29, FR</w:t>
      </w:r>
    </w:p>
    <w:p>
      <w:r>
        <w:rPr>
          <w:b/>
        </w:rPr>
        <w:t xml:space="preserve">Quelle: </w:t>
      </w:r>
      <w:r>
        <w:t>https://mcp.opencaselaw.ch/entscheid/bger_6B_720_2007</w:t>
      </w:r>
    </w:p>
    <w:p>
      <w:r>
        <w:t>FR: TF 6B_720/2007 du 29 mars 2008</w:t>
      </w:r>
    </w:p>
    <w:p>
      <w:r>
        <w:t>IT: TF 6B_720/2007 del 29 marzo 2008</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Le Tribunal fédéral n'entre pas en matière sur les critiques de nature appellatoire ( ATF 133 III 393 consid. 6 p. 397).</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2.1</w:t>
      </w:r>
    </w:p>
    <w:p>
      <w:r>
        <w:t>Aux termes de l' art. 2 CP , est jugé d'après le présent code quiconque commet un crime ou un délit après l'entrée en vigueur de ce code (al. 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 2; lex mitior).</w:t>
      </w:r>
    </w:p>
    <w:p>
      <w:r>
        <w:t>Selon la jurisprudence, c'est à la lumière du droit de procédure cantonal qu'il convient de déterminer à quel stade de la procédure l'auteur a été mis en jugement au sens de l' art. 2 al. 2 CP . Lorsque l'autorité cantonale de seconde instance exerce un pouvoir réformatoire ou statue en appel, elle devient alors elle-même juge du fond et doit alors examiner si le nouveau droit, en vigueur au moment où elle statue, s'applique à titre de droit plus favorable ( ATF 117 IV 369 consid. 15 p. 386 et les références citées). En cas d'admission d'un pourvoi sous l'ancien droit et de renvoi de la cause à l'autorité cantonale, il est admis que le juge auquel la cause est renvoyée pour nouvelle décision doit examiner si le nouveau droit est plus favorable à l'accusé lorsqu'il se prononce après l'entrée en vigueur du nouveau droit ( ATF 97 IV 233 consid. 2 p. 235).</w:t>
      </w:r>
    </w:p>
    <w:p>
      <w:r>
        <w:t>En l'espèce, les faits incriminés se sont déroulés en septembre 2004, et le recourant a été jugé en première instance le 16 février 2006. En tant qu'autorité d'appel, la cour cantonale, qui s'est prononcée sur renvoi en octobre 2007, à savoir après l'entrée en vigueur du nouveau droit, devait examiner si celui-ci était plus favorable au recourant, ce qu'elle a fait.</w:t>
      </w:r>
    </w:p>
    <w:p>
      <w:r>
        <w:rPr>
          <w:b/>
        </w:rPr>
        <w:t>E. 2.2</w:t>
      </w:r>
    </w:p>
    <w:p>
      <w:r>
        <w:t>Déterminer le régime le plus favorable, procède d'une comparaison concrète de la situation de l'auteur selon qu'il est jugé à l'aune de l'ancien ou du nouveau droit ( ATF 126 IV 5 consid. 2c p. 8; 119 IV 145 consid. 2c p. 151; 114 IV 81 consid. 3b p. 82). On examine, dans la règle, en premier lieu les conditions légales de l'infraction. Lorsque le comportement est punissable en vertu de l'ancien comme du nouveau droit, il y a lieu de comparer les deux régimes pris dans leur ensemble.</w:t>
      </w:r>
    </w:p>
    <w:p>
      <w:r>
        <w:rPr>
          <w:b/>
        </w:rPr>
        <w:t>E. 2.3</w:t>
      </w:r>
    </w:p>
    <w:p>
      <w:r>
        <w:t>En l'espèce, le recourant a été condamné en première instance à une peine d'emprisonnement de trois mois et vingt-cinq jours sans sursis. Selon le nouveau droit, une peine privative ferme de moins de six mois n'entre toutefois en considération qu'exceptionnellement. Elle n'est possible que si les conditions du sursis à l'exécution de la peine ne sont pas réunies et s'il y a lieu d'admettre que ni une peine pécuniaire ni un travail d'intérêt général ne peuvent être exécutés ( art. 41 CP ). Pour les peines jusqu'à six mois, le législateur a ainsi donné une priorité légale aux sanctions non privatives de liberté. Selon le nouveau droit, le recourant devrait donc, compte tenu de sa culpabilité, se voir infliger une peine pécuniaire.</w:t>
      </w:r>
    </w:p>
    <w:p>
      <w:r>
        <w:t>Une peine pécuniaire est toujours considérée comme moins sévère qu'une peine privative de liberté, une sanction patrimoniale étant moins lourde qu'une atteinte à la liberté personnelle (Popp/Levante, Basler Kommentar, Strafrecht I, 2e éd., 2007, art. 2, n. 11).</w:t>
      </w:r>
    </w:p>
    <w:p>
      <w:r>
        <w:t>C'est dès lors à juste titre que la cour cantonale a appliqué le nouveau droit au recourant comme lex mitior.</w:t>
      </w:r>
    </w:p>
    <w:p>
      <w:r>
        <w:rPr>
          <w:b/>
        </w:rPr>
        <w:t>E. 3.1</w:t>
      </w:r>
    </w:p>
    <w:p>
      <w:r>
        <w:t>Invoquant la violation du droit d'être entendu, le recourant reproche à la cour cantonale de ne pas avoir suffisamment motivé son arrêt, dans la mesure où il ne mentionnerait pas les dispositions légales réprimant les comportements qui lui sont reprochés.</w:t>
      </w:r>
    </w:p>
    <w:p>
      <w:r>
        <w:t>Le droit d'être entendu, garanti à l' art. 29 al. 2 Cst. , impose au juge l'obligation de motiver ses décisions afin que le justiciable puisse les comprendre et exercer ses droits de recours à bon escient.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133 III 439 consid. 3.3 p. 445 et les références).</w:t>
      </w:r>
    </w:p>
    <w:p>
      <w:r>
        <w:t>Dans la partie de l'arrêt relative aux faits, la cour cantonale se réfère au rapport de police et énumère les fautes commises par le recourant, mentionnant pour chacune d'elles, les dispositions légales réprimant les comportements reprochés (arrêt attaqué p. 3). Elle constate ensuite que ces comportements sont établis, puisqu'ils ont fait l'objet d'un enregistrement vidéo (arrêt attaqué p. 8). L'arrêt attaqué permet de déterminer les actes commis par le recourant et d'évaluer la gravité du danger ainsi créé. Le raisonnement adopté par la cour cantonale pour aboutir à une violation grave des règles de la circulation peut être parfaitement suivi. Mal fondé, le grief tiré du défaut de motivation doit être rejeté.</w:t>
      </w:r>
    </w:p>
    <w:p>
      <w:r>
        <w:rPr>
          <w:b/>
        </w:rPr>
        <w:t>E. 3.2</w:t>
      </w:r>
    </w:p>
    <w:p>
      <w:r>
        <w:t>Dénonçant une violation du principe de l'accusation, le recourant reproche à la cour cantonale de s'être référée aux infractions constatées dans le rapport de contravention, qui contiendrait des infractions ne figurant pas dans l'ordonnance de condamnation. Le recourant se verrait ainsi nouvellement accusé</w:t>
      </w:r>
    </w:p>
    <w:p>
      <w:r>
        <w:t>- de ne pas avoir tenu le bord droit de la chaussée, entravant la circulation venant de derrière;</w:t>
      </w:r>
    </w:p>
    <w:p>
      <w:r>
        <w:t>- d'avoir sans raison impérieuse circulé à une allure trop réduite;</w:t>
      </w:r>
    </w:p>
    <w:p>
      <w:r>
        <w:t>- d'avoir freiné intempestivement dans le but de gêner le véhicule qui le suivait;</w:t>
      </w:r>
    </w:p>
    <w:p>
      <w:r>
        <w:t>- de s'être déplacé d'une voie à l'autre (marquée ou non) dans la même direction, sans égard aux autres usagers de la route;</w:t>
      </w:r>
    </w:p>
    <w:p>
      <w:r>
        <w:t>- d'avoir circulé sur une bande d'arrêt d'urgence d'une autoroute.</w:t>
      </w:r>
    </w:p>
    <w:p>
      <w:r>
        <w:t>Composant du droit d'être entendu, le principe de l'accusation implique que le prévenu connaisse exactement les faits qui lui sont imputés ainsi que les peines et mesures auxquelles il s'expose, afin qu'il puisse s'expliquer et préparer efficacement sa défense ( ATF 126 I 19 consid. 2a p. 21; 120 IV 348 consid. 2b p. 353). Cette garantie peut aussi être déduite des art. 32 al. 2 Cst. et 6 par. 3 CEDH, qui n'ont pas de portée distincte. Le principe d'accusation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t>Les comportements qui sont reprochés au recourant dans l'ordonnance de condamnation correspondent aux infractions figurant dans le rapport de police, auquel l'arrêt attaqué renvoie. Ainsi, l'ordonnance de condamnation mentionne que le recourant a circulé à cheval sur la ligne de direction, ce qui équivaut à ne pas tenir le bord droit de la chaussée. Elle précise que le recourant a freiné et ralenti son allure afin de gêner les véhicules qui suivaient, ce qui implique qu'il a circulé à une allure trop réduite. Elle indique que le recourant n'a pas annoncé ses changements de direction, ce qui signifie qu'il a changé de voie, sans égard aux autres usagers de la route. Enfin, elle mentionne qu'à la suite d'une manoeuvre, le recourant s'est trouvé sur la bande d'arrêt d'urgence (point n° 12). La lecture de l'ordonnance de condamnation permet ainsi au recourant de comprendre les comportements qui lui sont reprochés. Les faits retenus dans l'arrêt attaqué ne sont en rien nouveau. Mal fondé, le grief du recourant doit être rejeté.</w:t>
      </w:r>
    </w:p>
    <w:p>
      <w:r>
        <w:rPr>
          <w:b/>
        </w:rPr>
        <w:t>E. 4</w:t>
      </w:r>
    </w:p>
    <w:p>
      <w:r>
        <w:t>Le recourant considère que la cour cantonale a retenu à tort l' art. 90 ch. 2 LCR . Selon lui, aucun des comportements qui lui sont reprochés ne seraient considérés comme graves par la jurisprudence.</w:t>
      </w:r>
    </w:p>
    <w:p>
      <w:r>
        <w:rPr>
          <w:b/>
        </w:rPr>
        <w:t>E. 4.1</w:t>
      </w:r>
    </w:p>
    <w:p>
      <w:r>
        <w:t>Pour dire si une violation d'une règle de la circulation doit être qualifiée de grave, il faut procéder à une appréciation aussi bien objective que subjective.</w:t>
      </w:r>
    </w:p>
    <w:p>
      <w:r>
        <w:t>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 ATF 131 IV 133 consid. 3.2 p. 136).</w:t>
      </w:r>
    </w:p>
    <w:p>
      <w:r>
        <w:t>Subjectivement, l'état de fait de l' art. 90 ch.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 ATF 131 IV 133 consid. 3.2 p. 136).</w:t>
      </w:r>
    </w:p>
    <w:p>
      <w:r>
        <w:rPr>
          <w:b/>
        </w:rPr>
        <w:t>E. 4.2</w:t>
      </w:r>
    </w:p>
    <w:p>
      <w:r>
        <w:t>Le fait que le recourant a contourné par la droite des véhicules pour les dépasser figure parmi les violations retenues. Or, ce seul comportement constitue une violation grave des règles de la circulation. En effet, objectivement, l'interdiction du dépassement par la droite est une règle fondamentale de la circulation, dont la violation entraîne une mise en danger considérable de la sécurité routière,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 ATF 126 IV 192 consid. 3 p. 196-197).</w:t>
      </w:r>
    </w:p>
    <w:p>
      <w:r>
        <w:t>Au demeurant, l'accumulation des fautes commises par le recourant, même si certaines ne peuvent pas être qualifiées de graves, constitue une grave violation des règles de la circulation, ce d'autant plus que ces manoeuvres dangereuses ont eu lieu sur une autoroute où de grandes vitesses sont pratiquées et à une heure de forte affluence, situation qui exige de tous les usagers une plus grande discipline et des égards redoublés. Du point de vue subjectif, le comportement du recourant dénote un manque d'égards pour autrui. Il s'agit donc objectivement et subjectivement d'une violation grave de la circulation. Infondé, le grief du recourant doit être rejeté.</w:t>
      </w:r>
    </w:p>
    <w:p>
      <w:r>
        <w:rPr>
          <w:b/>
        </w:rPr>
        <w:t>E. 5</w:t>
      </w:r>
    </w:p>
    <w:p>
      <w:r>
        <w:t>Le recourant fait valoir qu'il se trouvait dans un état de nécessité, expliquant qu'il se croyait poursuivi par un tueur et qu'il craignait que le conducteur ne l'agresse ( art. 17 et 18 CP en relation avec l' art. 13 CP ). A ses yeux, la cour cantonale serait tombée dans l'arbitraire en ne retenant pas qu'il se trouvait en danger. Selon lui, le coup de téléphone qu'il a lancé à la Centrale de Surveillance et d'Interventions du réseau routier (ci-après: CSI) démontrerait qu'il se croyait en danger. Pour le recourant, ce serait également de manière arbitraire que la cour cantonale a retenu qu'il aurait pu, en deux occasions, en tout cas, mettre fin à la course poursuite, en ralentissant et laissant l'autre automobiliste poursuivre sa course.</w:t>
      </w:r>
    </w:p>
    <w:p>
      <w:r>
        <w:rPr>
          <w:b/>
        </w:rPr>
        <w:t>E. 5.1.1</w:t>
      </w:r>
    </w:p>
    <w:p>
      <w:r>
        <w:t>Le nouveau droit distingue l'état de nécessité licite ( art. 17 CP ) de l'état de nécessité excusable ( art. 18 CP ).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w:t>
      </w:r>
    </w:p>
    <w:p>
      <w:r>
        <w:t>En l'occurrence, les biens juridiques en cause sont comparables, puisqu'il faut mettre en balance le danger ressenti par le recourant pour sa vie et son intégrité corporelle avec le danger que son comportement risquait de causer à la vie et à l'intégrité corporelle des autres usagers de la route. Seul entre donc en ligne de compte l'application de l' art. 18 CP .</w:t>
      </w:r>
    </w:p>
    <w:p>
      <w:r>
        <w:rPr>
          <w:b/>
        </w:rPr>
        <w:t>E. 5.1.2</w:t>
      </w:r>
    </w:p>
    <w:p>
      <w:r>
        <w:t>Lorsque l'auteur, en raison d'une représentation erronée des faits, se croit en situation de danger, alors qu'objectivement le danger n'existe pas, il agit en état de nécessité putative. Déterminer ce que l'auteur d'une infraction a su, cru, voulu ou accepté et, en particulier, l'existence d'une erreur relève de l'établissement des faits ( ATF 125 IV 49 consid. 2d p. 56).</w:t>
      </w:r>
    </w:p>
    <w:p>
      <w:r>
        <w:rPr>
          <w:b/>
        </w:rPr>
        <w:t>E. 5.2.1</w:t>
      </w:r>
    </w:p>
    <w:p>
      <w:r>
        <w:t>Selon les constatations cantonales, le recourant n'a pas sérieusement cru être poursuivi par un conducteur qui en voulait à sa vie. La cour cantonale fonde cette conclusion sur le coup de téléphone que le recourant a passé à la CSI. En effet, dans son audition du 12 janvier 2006, le préposé de la CSI a déclaré que « le recourant n'avait pas l'air particulièrement paniqué, mais que c'était difficile de juger car le téléphone n'avait pas duré plus de deux ou trois minutes » (Procès-verbal d'audience du Tribunal de police du 12 janvier 2006, p. 2). Au vu de ce témoignage - qu'il n'y a pas lieu de mettre en cause -, la cour cantonale ne saurait être accusée d'être tombée dans l'arbitraire en ne retenant pas que le recourant craignait d'être agressé par le conducteur qui le poursuivait. Le recourant n'apporte pas d'élément propre à établir la réalité des craintes qu'il prétend avoir ressenties. Le fait d'être suivi de près par un véhicule imposant, de couleur noir, sans plaque et dont le conducteur tenait un portable à la main ne signifie pas que celui-ci était un tueur fou et qu'il en voulait à la vie du recourant, mais tout au plus que l'automobiliste était surexcité. Le grief tiré de l'établissement arbitraire des faits doit donc être rejeté.</w:t>
      </w:r>
    </w:p>
    <w:p>
      <w:r>
        <w:rPr>
          <w:b/>
        </w:rPr>
        <w:t>E. 5.2.2</w:t>
      </w:r>
    </w:p>
    <w:p>
      <w:r>
        <w:t>En l'absence d'un danger imminent, c'est à juste titre que la cour cantonale n'a pas retenu l'état de nécessité. Le grief de violation des art. 17 et 18 CP est donc infondé.</w:t>
      </w:r>
    </w:p>
    <w:p>
      <w:r>
        <w:rPr>
          <w:b/>
        </w:rPr>
        <w:t>E. 6</w:t>
      </w:r>
    </w:p>
    <w:p>
      <w:r>
        <w:t>Le recourant fait valoir qu'il aurait agi sous l'effet d'une menace grave, de sorte que sa peine aurait dû être atténuée en application de l' art. 48 let. a ch. 3 CP .</w:t>
      </w:r>
    </w:p>
    <w:p>
      <w:r>
        <w:t>Cette circonstance n'est pas applicable en l'espèce, puisque, selon l'état de fait cantonal, il n'existait pas de danger imminent et que le recourant ne croyait pas sérieusement à un tel danger. Dans la mesure où le recourant soutient le contraire, son grief est irrecevable.</w:t>
      </w:r>
    </w:p>
    <w:p>
      <w:r>
        <w:rPr>
          <w:b/>
        </w:rPr>
        <w:t>E. 7</w:t>
      </w:r>
    </w:p>
    <w:p>
      <w:r>
        <w:t>Le recourant soutient que la cour cantonale aurait violé l' art. 47 CP en ne tenant pas compte des mobiles.</w:t>
      </w:r>
    </w:p>
    <w:p>
      <w:r>
        <w:t>Comme vu ci-dessus, il ne ressort pas des constatations cantonales que le recourant ait été paniqué et que ses infractions aient eu pour but d'échapper à un tueur fou. Dans la mesure où le recourant fait valoir de tels mobiles, il s'écarte de l'état de fait cantonal, de sorte que son grief est irrecevable. L'échange de correspondance entre le recourant et la police pour que les enregistrements audio de cette conversation soient conservés est sans pertinence pour juger des mobiles du recourant.</w:t>
      </w:r>
    </w:p>
    <w:p>
      <w:r>
        <w:rPr>
          <w:b/>
        </w:rPr>
        <w:t>E. 8</w:t>
      </w:r>
    </w:p>
    <w:p>
      <w:r>
        <w:t>Au vu de ce qui précède, le recours doit être rejeté dans la mesure où il est recevable.</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