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71/2015 vom 19. November 2015</w:t>
      </w:r>
    </w:p>
    <w:p>
      <w:r>
        <w:t>Bundesgericht, 2015-11-19, FR</w:t>
      </w:r>
    </w:p>
    <w:p>
      <w:r>
        <w:rPr>
          <w:b/>
        </w:rPr>
        <w:t xml:space="preserve">Quelle: </w:t>
      </w:r>
      <w:r>
        <w:t>https://mcp.opencaselaw.ch/entscheid/bger_6B_71_2015</w:t>
      </w:r>
    </w:p>
    <w:p>
      <w:r>
        <w:t>FR: TF 6B 71/2015 du 19 novembre 2015</w:t>
      </w:r>
    </w:p>
    <w:p>
      <w:r>
        <w:t>IT: TF 6B 71/2015 del 19 novembre 2015</w:t>
      </w:r>
    </w:p>
    <w:p>
      <w:pPr>
        <w:pStyle w:val="Heading2"/>
      </w:pPr>
      <w:r>
        <w:t>Regeste</w:t>
      </w:r>
    </w:p>
    <w:p>
      <w:r>
        <w:t>Contrainte sexuelle | Infractions</w:t>
      </w:r>
    </w:p>
    <w:p>
      <w:pPr>
        <w:pStyle w:val="Heading2"/>
      </w:pPr>
      <w:r>
        <w:t>Erwägungen</w:t>
      </w:r>
    </w:p>
    <w:p>
      <w:r>
        <w:rPr>
          <w:b/>
        </w:rPr>
        <w:t>E. 1.1</w:t>
      </w:r>
    </w:p>
    <w:p>
      <w:r>
        <w:t>Le recourant met en cause l'établissement des faits opéré par la juridiction cantonale.</w:t>
      </w:r>
    </w:p>
    <w:p>
      <w:r>
        <w:rPr>
          <w:b/>
        </w:rPr>
        <w:t>E. 1.2</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w:t>
      </w:r>
    </w:p>
    <w:p>
      <w:r>
        <w:rPr>
          <w:b/>
        </w:rPr>
        <w:t>E. 1.3</w:t>
      </w:r>
    </w:p>
    <w:p>
      <w:r>
        <w:t>Le recourant conteste que la victime ait eu connaissance de son statut d'agent de sécurité avant que les faits litigieux ne se produisent. A l'appui de son point de vue, il se fonde sur une audition de l'intimée tenue le 18 janvier 2010 au cours de laquelle elle a déclaré que " ... lorsque nous étions sur la plage du club B.________, j'étais assise sur un transat en position relevée. Il me semble qu'il y avait à ma droite, à très courte distance, une paroi en bambou. Selon mes souvenirs, j'aurais pu la toucher. X.________ se trouvait devant moi. Il était debout. Il s'est penché en avant pour passer une main sous ma robe et déchirer avec ses doigts mon collant en tirant dessus. J'ai entendu le bruit de déchirement du collant. Je ne réalisais pas ce qui se passait. Cela n'était pas dû à mon état alcoolisé. En effet, je tiens bien l'alcool. Je ne suis pas alcoolique mais les gens qui m'accompagnaient m'ont déjà vu avoir bu plus que ce que j'avais consommé ce soir-là et être mieux. Je ne me souviens pas si j'ai fait part de ma désapprobation oralement ou physiquement lorsqu'il a déchiré mon collant. Il n'a pas introduit ses doigts dans mon vagin. A ce moment-là, je me suis rendue compte qu'il s'agissait d'un membre de la sécurité car quelqu'un l'a appelé via son oreillette et il est parti. Vous vous étonnez de cette réponse dans la mesure où, lors du dépôt de ma plainte, j'ai déclaré qu'il avait mis ses deux doigts dans mon vagin et que cet épisode était antérieur à la fellation. Je suis sûre qu'il n'y a pas eu une pénétration vaginale quelle qu'elle soit. Je ne sais pas pourquoi j'ai dit cela à la police. Je suis également sûre qu'il a été appelé au moment où il avait déchiré mon collant et qu'il est parti. J'en déduis qu'il m'a forcée à la fellation simultanément au déchirement du collant... " (cf. procès-verbal d'audition du 18 janvier 2010, pce 7, lignes 34 ss). La déclaration litigieuse s'inscrit dans le récit des faits par l'intimée qu'elle ponctue en précisant les circonstances dans lesquelles l'agression a pris fin, à savoir au moment où le recourant a été appelé par le biais de son oreillette à intervenir à l'entrée de la discothèque. Il ne s'agissait pas alors de déterminer à quel moment l'intimée avait pris connaissance du statut d'agent de sécurité du recourant, mais d'établir avec précision les agissements susceptibles d'être poursuivis pénalement. Replacés dans leur contexte, ces propos se comprennent en ce sens que l'intimée a retrouvé ses esprits au moment où le recourant a été rappelé à ses devoirs professionnels. Le recourant ne saurait ainsi se prévaloir avec succès de la formulation précitée, infirmée de surcroît par les autres déclarations de l'intimée. Elle a en effet ajouté à l'issue de la même audition que " ... Depuis lors, je suis sur la défensive dès que quelqu'un s'adresse à moi, même la journée. Pour vous dire, je porte dans mon sac constamment un spray au poivre. C'était déjà le cas en juillet 2009. Le fait que je suive le prévenu à l'extérieur sans mon sac prouve que j'avais confiance en lui. Il était dans mon esprit exclu qu'un membre de la sécurité puisse représenter un danger " (cf. procès-verbal d'audition du 18 janvier 2010, pce 7, lignes 98 ss). En outre, elle a exposé dans sa plainte du 5 juillet 2009 qu'aux environs de 04h00, un membre de la sécurité du club B.________ l'avait approchée et qu'elle l'avait identifié comme tel compte tenu de l'oreillette câblée dont il était équipé (cf. procès-verbal d'audition-plainte du 5 juillet 2009, pce 1, p. 1). Il n'y a pas lieu de s'écarter de cette version motivée, logique et cohérente, qui correspond de surcroît aux premières déclarations de l'intimée déposées peu après les faits. Le grief se révèle mal fondé.</w:t>
      </w:r>
    </w:p>
    <w:p>
      <w:r>
        <w:rPr>
          <w:b/>
        </w:rPr>
        <w:t>E. 2</w:t>
      </w:r>
    </w:p>
    <w:p>
      <w:r>
        <w:t>Le recourant conteste s'être rendu coupable de contrainte au sens de l' art. 189 al. 1 CP .</w:t>
      </w:r>
    </w:p>
    <w:p>
      <w:r>
        <w:rPr>
          <w:b/>
        </w:rPr>
        <w:t>E. 2.1</w:t>
      </w:r>
    </w:p>
    <w:p>
      <w:r>
        <w:t>Aux termes de cette disposition,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Commet un acte de contrainte sexuelle au sens de cette disposition celui qui, notamment, use de menace ou de violence, exerce sur la victime des pressions d'ordre psychique ou la met hors d'état de résister.</w:t>
      </w:r>
    </w:p>
    <w:p>
      <w:r>
        <w:rPr>
          <w:b/>
        </w:rPr>
        <w:t>E. 2.1.1</w:t>
      </w:r>
    </w:p>
    <w:p>
      <w:r>
        <w:t>Sous l'angle subjectif, l'infraction de contrainte sexuelle est intentionnelle.</w:t>
      </w:r>
    </w:p>
    <w:p>
      <w:r>
        <w:rPr>
          <w:b/>
        </w:rPr>
        <w:t>E. 2.1.2</w:t>
      </w:r>
    </w:p>
    <w:p>
      <w:r>
        <w:t>Sur le plan objectif,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L' art. 189 CP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128 IV 97 consid. 2b p. 99, 106 consid. 3a/bb p. 110 s.; 124 IV 154 consid. 3b p. 158 s.).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 ATF 131 IV 107 consid. 2.2 p. 109). Les pressions d'ordre psychique visent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pas nécessaire que la victime ait été mise hors d'état de résister (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 ATF 126 IV 124 consid. 3b et c p. 129 ss). S'il n'est ainsi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 Rehberg/Schmid, Strafrecht III, 6ème édition, p. 380).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 ATF 119 IV 309 consid. 7b).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131 IV 107 consid. 2.2 p. 109;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w:t>
      </w:r>
    </w:p>
    <w:p>
      <w:r>
        <w:rPr>
          <w:b/>
        </w:rPr>
        <w:t>E. 2.2</w:t>
      </w:r>
    </w:p>
    <w:p>
      <w:r>
        <w:t>La juridiction cantonale a considéré qu'il n'y avait pas eu de menace, mais emploi volontaire de la force physique dans le but de faire céder la victime. La corpulence du recourant et son expérience d'agent de sécurité lui avaient permis d'immobiliser la victime en la saisissant par la tête. Il avait porté cette prise alors qu'il se tenait debout, tandis qu'elle était assise, empêchée de fuir, à distance de tiers susceptible de la secourir et particulièrement vulnérable compte tenu de son ébriété que l'auteur connaissait. Leurs postures respectives lui assuraient une position dominante, qui avait suppléé à l'inertie de la victime. Sur le plan subjectif, il avait réalisé que cette dernière ne consentait pas à la fellation dont il avait pris l'initiative. Imposer brutalement une fellation à une femme inconnue, en la maintenant sans autres préliminaires ou propos amoureux, sans requérir son accord et sans lui laisser la possibilité de réaliser ce qui allait se passer, revenait à accepter de la contraindre, par dol éventuel tout du moins.</w:t>
      </w:r>
    </w:p>
    <w:p>
      <w:r>
        <w:rPr>
          <w:b/>
        </w:rPr>
        <w:t>E. 2.3</w:t>
      </w:r>
    </w:p>
    <w:p>
      <w:r>
        <w:t>En référence à des déclarations de l'intimée, le recourant conteste avoir usé de sa force physique. En effet, celle-ci avait expressément répété à plusieurs reprises qu'il avait agi sans brutalité ni violence. En revanche, il ne ressortait pas de ses déclarations qu'il aurait maintenu sa tête avec intensité. Elle l'avait suivi et avait pris place dans le transat de son plein gré, s'était placée elle-même dans une situation dont elle pouvait s'échapper à tout moment et n'avait jamais exprimé de désaccord. Il n'avait pas menacé de la frapper, pas plus qu'il ne l'avait entravée dans ses mouvements, celle-ci ayant du reste indiqué dans sa plainte avoir eu un geste de recul après quelques instants. Il n'avait pas pu exploiter son état d'ébriété, l'intimée s'étant déclarée parfaitement consciente au moment des faits et se rappeler de ces derniers dans le détail.</w:t>
      </w:r>
    </w:p>
    <w:p>
      <w:r>
        <w:rPr>
          <w:b/>
        </w:rPr>
        <w:t>E. 2.4.1</w:t>
      </w:r>
    </w:p>
    <w:p>
      <w:r>
        <w:t>Il est établi qu'au moment des faits, le recourant était agent de sécurité au service du club B.________, dont l'intimée était une cliente. Ayant connaissance de ce statut, elle pouvait légitimement se fier à un employé auquel la direction de la discothèque avait confié la protection de sa clientèle et d'autant moins envisager que celui-ci prît le risque d'agresser une cliente de son employeur. Ainsi mise en confiance, elle a rejoint le recourant sur la plage bordant la boîte de nuit, où elle s'est assise dans un transat. Resté debout face à elle, le recourant a alors dénudé son pénis, saisi la jeune femme par l'arrière du crâne, introduit son sexe dans sa bouche et l'a contrainte à lui accorder une fellation en imprimant des mouvements d'avant en arrière à sa tête. Le recourant n'invoque aucun geste ni parole de l'intimée desquels il se serait cru autorisé à agir. Il ne discute pas non plus les considérations cantonales selon lesquelles lui seul a pris l'initiative de ses agissements. Sans approche d'aucune sorte et contre toute attente, l'intimée, qui se croyait en sûreté, s'est ainsi subitement trouvée confrontée à la poigne d'un homme de 1m80 pour 98 kg lui maintenant la tête. Comme souligné par la juridiction cantonale, il a porté cette prise alors qu'il se tenait debout, tandis qu'elle était assise sur un siège surbaissé et bloquée contre le dossier qui en était redressé. Cette position dominante et la supériorité physique ont conféré au recourant une maîtrise physique absolue sur l'intimée. Ainsi empêchée de fuir et d'appeler à l'aide, surprise par une agression dont elle se croyait précisément à l'abri et engourdie par une consommation excessive d'alcool, l'intimée s'est retrouvée dans une situation sans espoir contre laquelle elle n'avait pas de possibilité réelle de résister et dont le recourant a profité pour parvenir à ses fins sans recourir à la brutalité, dont il n'avait en définitive pas besoin. Compte tenu des circonstances, il a fait acte de contrainte au détriment de l'intimée au sens de l' art. 189 CP .</w:t>
      </w:r>
    </w:p>
    <w:p>
      <w:r>
        <w:rPr>
          <w:b/>
        </w:rPr>
        <w:t>E. 2.4.2</w:t>
      </w:r>
    </w:p>
    <w:p>
      <w:r>
        <w:t>Au reste, les conditions d'application de l' art. 189 al. 1 CP ne sont pas mises en cause. En particulier, le recourant, qui ne formule aucun grief recevable à cet égard, ne remet pas en cause avoir réalisé que l'intimée ne consentait pas à la fellation dont il avait pris l'initiative, comme retenu par la juridiction cantonale (cf. jugement attaqué consid. 4.2 § 2 p. 17). Partant, la cour cantonale n'a pas violé le droit fédéral en confirmant la condamnation du chef de contrainte sexuelle.</w:t>
      </w:r>
    </w:p>
    <w:p>
      <w:r>
        <w:rPr>
          <w:b/>
        </w:rPr>
        <w:t>E. 3</w:t>
      </w:r>
    </w:p>
    <w:p>
      <w:r>
        <w:t>Le recours ne paraissait pas d'emblée voué à l'échec. Il convient dès lors de mettre le recourant au bénéfice de l'assistance judiciaire, sa situation économique le justifiant ( art. 64 al. 1 LTF ), de lui désigner Me Alain Vuithier comme avocat d'office et d'allouer à celui-ci une indemnité à titre d'honoraires, qui sera supportée par la caisse du Tribunal fédéral ( art. 64 al. 2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