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6B_718/2021 vom 2. September 2021</w:t>
      </w:r>
    </w:p>
    <w:p>
      <w:r>
        <w:t>Bundesgericht, 2021-09-02, FR</w:t>
      </w:r>
    </w:p>
    <w:p>
      <w:r>
        <w:rPr>
          <w:b/>
        </w:rPr>
        <w:t xml:space="preserve">Quelle: </w:t>
      </w:r>
      <w:r>
        <w:t>https://mcp.opencaselaw.ch/entscheid/bger_6B_718_2021</w:t>
      </w:r>
    </w:p>
    <w:p>
      <w:r>
        <w:t>FR: TF 6B_718/2021 du 2 septembre 2021</w:t>
      </w:r>
    </w:p>
    <w:p>
      <w:r>
        <w:t>IT: TF 6B_718/2021 del 2 settembre 2021</w:t>
      </w:r>
    </w:p>
    <w:p>
      <w:pPr>
        <w:pStyle w:val="Heading2"/>
      </w:pPr>
      <w:r>
        <w:t>Erwägungen</w:t>
      </w:r>
    </w:p>
    <w:p>
      <w:r>
        <w:rPr>
          <w:b/>
        </w:rPr>
        <w:t>E. 1</w:t>
      </w:r>
    </w:p>
    <w:p>
      <w:r>
        <w:t>Par arrêt du 22 avril 2021, la Chambre des recours pénale du Tribunal cantonal vaudois a rejeté le recours interjeté par A.________ à l'encontre de l'ordonnance de non-entrée en matière rendue le 17 février 2021 par le Ministère public de l'arrondissement de Lausanne. Dite ordonnance faisait suite à la plainte pénale déposée en date du 29 décembre 2020 par le prénommé à l'encontre du Premier juge de paix du district de Lausanne et de son curateur, qu'il accusait de s'être rendus coupables de malveillance, de tentative de vol et de corruption.</w:t>
      </w:r>
    </w:p>
    <w:p>
      <w:r>
        <w:t>Après avoir relevé que le prénommé était placé sous curatelle de portée générale ( art. 398 CC ) et qu'il n'avait pas l'exercice des droits civils, la cour cantonale a considéré que la question de savoir s'il pouvait recourir en son nom souffrait de rester indécise, dès lors que le recours devait de toute manière être déclaré irrecevable, faute de satisfaire aux exigences de motivation déduites de l' art. 385 CPP . La cour cantonale a en effet considéré, en bref, que le recours dont elle était saisie ne comportait aucun moyen de fait ou de droit dirigé contre l'ordonnance de non-entrée en matière du 17 février 2021.</w:t>
      </w:r>
    </w:p>
    <w:p>
      <w:r>
        <w:rPr>
          <w:b/>
        </w:rPr>
        <w:t>E. 2</w:t>
      </w:r>
    </w:p>
    <w:p>
      <w:r>
        <w:t>A.________ forme un recours en matière pénale au Tribunal fédéral contre l'arrêt rendu le 22 avril 2021 par la Chambre des recours pénale du Tribunal cantonal vaudois.</w:t>
      </w:r>
    </w:p>
    <w:p>
      <w:r>
        <w:rPr>
          <w:b/>
        </w:rPr>
        <w:t>E. 3</w:t>
      </w:r>
    </w:p>
    <w:p>
      <w:r>
        <w:t>A teneur de l' art. 47 al. 1 LTF les délais fixés par la loi, tel que le délai de recours prévu par l' art. 100 LTF , ne peuvent être prolongés. La prolongation que le recourant a requis pour compléter son écriture ne saurait dès lors être accordée.</w:t>
      </w:r>
    </w:p>
    <w:p>
      <w:r>
        <w:rPr>
          <w:b/>
        </w:rPr>
        <w:t>E. 4</w:t>
      </w:r>
    </w:p>
    <w:p>
      <w:r>
        <w:t>La question de savoir si, au vu des éléments exposés plus haut, le recourant a qualité pour recourir en son nom au Tribunal fédéral souffre également de rester indécise, compte tenu de ce qui suit.</w:t>
      </w:r>
    </w:p>
    <w:p>
      <w:r>
        <w:rPr>
          <w:b/>
        </w:rPr>
        <w:t>E. 5</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outre, 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t>En l'espèce, le recourant ne dit mot au sujet des prétentions civiles qui seraient les siennes. Quoi qu'il en soit, conformément à l' art. 454 al. 1 et 2 CC en corrélation avec l' art. 440 CC , la personne lésée par un acte ou une omission illicites dans le cadre de mesures prises par l'autorité de protection de l'adulte ou de l'enfant n'a aucun droit à réparation envers l'auteur du dommage lui-même, seul le canton étant tenu d'une telle obligation. Dans cette mesure, le recourant ne démontre pas avoir qualité pour recourir en matière pénale au regard de l'art. 81 al. 1 let. a et b ch. 5 LTF.</w:t>
      </w:r>
    </w:p>
    <w:p>
      <w:r>
        <w:t>On relèvera également qu'on ne discerne dans le recours aucune contestation relative au droit de porter plainte (art. 81 al. 1 let. a et b ch. 6 LTF), pas plus que l'allégation d'une éventuelle violation d'un droit de procédure entièrement séparé du fond (cf. ATF 141 IV 1 consid. 1.1 p. 5; 136 IV 29 consid. 1.9 p. 40 et les références citées).</w:t>
      </w:r>
    </w:p>
    <w:p>
      <w:r>
        <w:t>A cela s'ajoute qu'en tout état, l'écriture du recourant ne comporte qu'une discussion appellatoire et, partant, irrecevable des circonstances de sa cause. On n'y décèle au demeurant aucun grief topique dirigé contre la motivation par laquelle la cour cantonale a, sur la base de l' art. 385 CPP , déclaré son recours irrecevable.</w:t>
      </w:r>
    </w:p>
    <w:p>
      <w:r>
        <w:t>Il s'ensuit que le recourant n'a manifestement pas qualité pour recourir et que son recours ne répond pas non plus aux exigences de motivation d'un recours en matière pénale au Tribunal fédéral ( art. 42 al. 2 LTF ; 106 al. 2 LTF ).</w:t>
      </w:r>
    </w:p>
    <w:p>
      <w:r>
        <w:rPr>
          <w:b/>
        </w:rPr>
        <w:t>E. 6</w:t>
      </w:r>
    </w:p>
    <w:p>
      <w:r>
        <w:t>L'irrecevabilité du recours est manifeste. Elle doit être constatée dans la procédure prévue par l' art. 108 al. 1 let. a et b LTF . Il convient exceptionnellement de statuer sans frais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