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717/2024 vom 12. November 2024</w:t>
      </w:r>
    </w:p>
    <w:p>
      <w:r>
        <w:t>Bundesgericht, 2024-11-12, DE</w:t>
      </w:r>
    </w:p>
    <w:p>
      <w:r>
        <w:rPr>
          <w:b/>
        </w:rPr>
        <w:t xml:space="preserve">Quelle: </w:t>
      </w:r>
      <w:r>
        <w:t>https://mcp.opencaselaw.ch/entscheid/bger_6B_717_2024</w:t>
      </w:r>
    </w:p>
    <w:p>
      <w:r>
        <w:t>FR: TF 6B 717/2024 du 12 novembre 2024</w:t>
      </w:r>
    </w:p>
    <w:p>
      <w:r>
        <w:t>IT: TF 6B 717/2024 del 12 novembre 2024</w:t>
      </w:r>
    </w:p>
    <w:p>
      <w:pPr>
        <w:pStyle w:val="Heading2"/>
      </w:pPr>
      <w:r>
        <w:t>Regeste</w:t>
      </w:r>
    </w:p>
    <w:p>
      <w:r>
        <w:t>Landesverweisung | Strafrecht (allgemein)</w:t>
      </w:r>
    </w:p>
    <w:p>
      <w:pPr>
        <w:pStyle w:val="Heading2"/>
      </w:pPr>
      <w:r>
        <w:t>Erwägungen</w:t>
      </w:r>
    </w:p>
    <w:p>
      <w:r>
        <w:rPr>
          <w:b/>
        </w:rPr>
        <w:t>E. 1</w:t>
      </w:r>
    </w:p>
    <w:p>
      <w:r>
        <w:t>Der Beschwerdeführer beanstandet die Landesverweisung.</w:t>
      </w:r>
    </w:p>
    <w:p>
      <w:r>
        <w:rPr>
          <w:b/>
        </w:rPr>
        <w:t>E. 1.1</w:t>
      </w:r>
    </w:p>
    <w:p>
      <w:r>
        <w:t>Er macht geltend, die Vorinstanz verneine zu Unrecht das Vorliegen eines schweren persönlichen Härtefalls. Zudem gehe sie in ihren Eventualausführungen auch zu Unrecht von einem überwiegenden öffentlichen Interesse an einer Landesverweisung gegenüber seinen privaten Interessen an einem Verbleib in der Schweiz aus. Der Beschwerdeführer rügt, die Vorinstanz habe die in seinem Heimatland drohende Gefahr für Leib und Leben in keiner Weise berücksichtigt; in diesem Zusammenhang sei ihr auch eine Verletzung des rechtlichen Gehörs sowie des Untersuchungsgrundsatzes vorzuwerfen. Überdies habe die Vorinstanz bei der Prüfung des schweren persönlichen Härtefalls das Recht auf Familienleben des Beschwerdeführers nicht bzw. fehlerhaft gewürdigt.</w:t>
      </w:r>
    </w:p>
    <w:p>
      <w:r>
        <w:rPr>
          <w:b/>
        </w:rPr>
        <w:t>E. 1.2</w:t>
      </w:r>
    </w:p>
    <w:p>
      <w:r>
        <w:t>Die Vorinstanz verneint das Vorliegen eines schweren persönlichen Härtefalls i.S.v. Art. 66a Abs. 2 StGB . Sie fügt an, selbst wenn knapp von einem Härtefall ausgegangen würde, so würden die hohen öffentlichen Interessen an der Landesverweisung die privaten Interessen des Beschwerdeführers an einem Verbleib in der Schweiz deutlich überwiegen. Die Landesverweisung erweise sich sowohl unter dem Blickwinkel von Art. 66a Abs. 2 StGB als auch unter demjenigen von Art. 8 Ziff. 2 EMRK als verhältnismässig und rechtskonform.</w:t>
      </w:r>
    </w:p>
    <w:p>
      <w:r>
        <w:rPr>
          <w:b/>
        </w:rPr>
        <w:t>E. 1.3.1</w:t>
      </w:r>
    </w:p>
    <w:p>
      <w:r>
        <w:t>Art. 66a Abs. 1 lit. c StGB sieht für Ausländer, die wegen gewerbsmässigen Betrugs im Sinne von Art. 146 Abs. 2 StGB verurteilt wurden, unabhängig von der Höhe der Strafe, die obligatorische Landesverweisung für 5-15 Jahre aus der Schweiz vor. Der Beschwerdeführer ist russischer Staatsangehöriger tschetschenischer Ethnie und wurde wegen gewerbsmässigen Betrugs i.S.v. Art. 146 Abs. 2 StGB schuldig gesprochen. Demzufolge sind die Voraussetzungen für eine Landesverweisung gemäss Art. 66a Abs. 1 lit. c StGB grundsätzlich erfüllt.</w:t>
      </w:r>
    </w:p>
    <w:p>
      <w:r>
        <w:rPr>
          <w:b/>
        </w:rPr>
        <w:t>E. 1.3.2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6B_988/2023 vom 5. Juli 2024 E. 1.4.1; 6B_449/2023 vom 21. Februar 2024 E. 1.3.3;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6B_228/2023 vom 8. Februar 2024 E. 2.4.2; 6B_33/2022 vom 9. Dezember 2022 E. 3.2.3; je mit Hinweisen).</w:t>
      </w:r>
    </w:p>
    <w:p>
      <w:r>
        <w:rPr>
          <w:b/>
        </w:rPr>
        <w:t>E. 1.3.3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6B_988/2023 vom 5. Juli 2024 E. 1.4.2; 6B_1144/2021 vom 24. April 2023 E. 1.2.5; je mit Hinweisen). Art. 66a StGB ist EMRK-konform auszulegen. Die Interessenabwägung im Rahmen der Härtefallklausel von Art. 66a Abs. 2 StGB hat sich daher an der Verhältnismässigkeitsprüfung nach Art. 8 Ziff. 2 EMRK zu orientieren ( BGE 145 IV 161 E. 3.4; Urteil 6B_988/2023 vom 5. Juli 2024 E. 1.4.2 mit Hinweis).</w:t>
      </w:r>
    </w:p>
    <w:p>
      <w:r>
        <w:rPr>
          <w:b/>
        </w:rPr>
        <w:t>E. 1.3.4</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6B_255/2021 vom 3. Oktober 2022 E. 1.3.5; 6B_1245/2021 vom 8. Juni 2022 E. 2.3.3). Die Konvention verlangt, dass die individuellen Interessen an der Erteilung beziehungsweise am Erhalt des Anwesenheitsrechts und die öffentlichen Interessen an dessen Verweigerung gegeneinander abgewogen werden ( BGE 142 II 35 E. 6.1; Urteile 6B_629/2024 vom 21. Oktober 2024 E. 2.3.4; 6B_1234/2023 vom 11. Juli 2024 E. 3.3.2; je mit Hinweisen).</w:t>
      </w:r>
    </w:p>
    <w:p>
      <w:r>
        <w:rPr>
          <w:b/>
        </w:rPr>
        <w:t>E. 1.3.5</w:t>
      </w:r>
    </w:p>
    <w:p>
      <w:r>
        <w:t>Für die Frage, ob der Eingriff in das Recht auf Achtung des Familienlebens "notwendig" im Sinne von Art. 8 Ziff. 2 EMRK ist, sind nach der Rechtsprechung des EGMR nebst den zuvor erwähnten Kriterien (vgl. E. 1.3.3 oben;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 6B_629/2024 vom 21. Oktober 2024 E. 2.3.5 mit Hinweisen).</w:t>
      </w:r>
    </w:p>
    <w:p>
      <w:r>
        <w:rPr>
          <w:b/>
        </w:rPr>
        <w:t>E. 1.3.6</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6B_285/2024 vom 10. September 2024 E. 1.5.1; 6B_988/2023 vom 5. Juli 2024 E. 1.7.6; je mit Hinweisen).</w:t>
      </w:r>
    </w:p>
    <w:p>
      <w:r>
        <w:rPr>
          <w:b/>
        </w:rPr>
        <w:t>E. 1.3.7</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1.3.8</w:t>
      </w:r>
    </w:p>
    <w:p>
      <w:r>
        <w:t>Sind Kinder involviert, ist bei der Interessenabwägung als wesentliches Element zudem den Kindesinteressen und dem Kindeswohl Rechnung zu tragen ( BGE 143 I 21 E. 5.5.1; Urteile 6B_228/2023 vom 8. Februar 2024 E. 2.4.2; 6B_1114/2022 vom 11. Januar 2023 E. 5;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 6B_855/2020 vom 25. Oktober 2021 E. 3.3.2).</w:t>
      </w:r>
    </w:p>
    <w:p>
      <w:r>
        <w:rPr>
          <w:b/>
        </w:rPr>
        <w:t>E. 1.4</w:t>
      </w:r>
    </w:p>
    <w:p>
      <w:r>
        <w:t>Die Vorinstanz prüft das Vorliegen eines schweren persönlichen Härtefalls anhand der gängigen Integrationskriterien.</w:t>
      </w:r>
    </w:p>
    <w:p>
      <w:r>
        <w:rPr>
          <w:b/>
        </w:rPr>
        <w:t>E. 1.4.1</w:t>
      </w:r>
    </w:p>
    <w:p>
      <w:r>
        <w:t>Der Beschwerdeführer ist 39 Jahre alt und im Alter von 30 Jahren in die Schweiz gereist. Zuvor war er seit seinem 16. Lebensjahr in Deutschland. Er wurde mit Entscheid des SEM vom 10. Juni 2016 als Flüchtling anerkannt und vorläufig aufgenommen. Mit Entscheid vom 30. Juni 2021 aberkannte das SEM jedoch die Flüchtlingseigenschaft, da der Beschwerdeführer diese durch falsche Angaben bzw. Verschweigen wesentlicher Tatsachen erschlichen hatte. Es hob die vorläufige Aufnahme in der Schweiz auf und ordnete den Vollzug der Weg- oder Ausweisung an, wobei dem Beschwerdeführer eine Ausreisefrist bis zum 8. August 2021 angesetzt wurde. Wenn die Vorinstanz mehrfach betont, der Beschwerdeführer halte sich seither ohne gültigen Aufenthaltstitel in der Schweiz auf, so ist dies entgegen der Auffassung des Beschwerdeführers nicht zu beanstanden. Auch die Aufenthaltsdauer spricht nicht für die Annahme eines schweren persönlichen Härtefalls. Dagegen wendet der Beschwerdeführer denn auch nichts ein ( Art. 42 Abs. 2 BGG ).</w:t>
      </w:r>
    </w:p>
    <w:p>
      <w:r>
        <w:rPr>
          <w:b/>
        </w:rPr>
        <w:t>E. 1.4.2</w:t>
      </w:r>
    </w:p>
    <w:p>
      <w:r>
        <w:t>Die Vorinstanz erwägt, der Beschwerdeführer sei wirtschaftlich und beruflich so gut wie nicht integriert. Gestützt auf ihre verbindlichen Feststellungen ( Art. 105 Abs. 1 BGG ) hat er in Deutschland zwar die Hauptschule und das Berufscollege zum gelernten Tischler abgeschlossen, jedoch die meiste Zeit von Sozialhilfe gelebt. Auch in der Schweiz war er bis zu seiner Inhaftierung auf Sozialhilfe angewiesen. Im Sommer 2020 begann er ein Praktikum, wobei er bereits eine Zusage für eine Festanstellung hatte. Aufgrund einer zu verbüssenden Strafe musste er das Praktikum jedoch abbrechen. Abgesehen davon ist er nie einer Erwerbstätigkeit nachgegangen. Angesichts des Umstands, dass er gemäss eigenen Angaben Schulden von ein paar hunderttausend Franken hat, gibt die vorinstanzliche Einschätzung zu keinen Bemerkungen Anlass. Gleiches gilt für die vorinstanzlichen Ausführungen zu seiner persönlichen und gesellschaftlichen Integration, welche die Vorinstanz als durchschnittlich betrachtet. Der Beschwerdeführer spricht indes sehr gut deutsch, weshalb er sprachlich als gut integriert gilt.</w:t>
      </w:r>
    </w:p>
    <w:p>
      <w:r>
        <w:rPr>
          <w:b/>
        </w:rPr>
        <w:t>E. 1.4.3</w:t>
      </w:r>
    </w:p>
    <w:p>
      <w:r>
        <w:t>Mit Blick auf eine mögliche Reintegration im Heimatland des Beschwerdeführers führt die Vorinstanz aus, er sei in Russland bzw. Tschetschenien geboren und habe 16 Lebensjahre dort verbracht, weshalb er mit der dortigen Kultur und Sprache bestens vertraut sei. Er habe Verwandte in Tschetschenien, zu denen er jedoch seit seinem vorzeitigen Strafvollzug keinen Kontakt mehr pflege. Zu Recht erachtet die Vorinstanz indes weder das Vorhandensein von Verwandten noch ein gutes Verhältnis zu diesen als Voraussetzung für eine Landesverweisung. Die Vorinstanz setzt sich in diesem Zusammenhang auch mit allfälligen Vollzugshindernissen i.S.v. Art. 66d StGB auseinander (vgl. dazu ausführlich BGE 149 IV 231 E. 2.1.2 ff.). Solche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6B_988/2023 vom 5. Juli 2024 E. 1.8.1; 6B_33/2022 vom 9. Dezember 2022 E. 3.2.5; 6B_38/2021 vom 14. Februar 2022 E. 5.5.3; je mit Hinweisen). Liegt ein definitives Vollzugshindernis vor, so hat der Sachrichter auf die Anordnung der Landesverweisung zu verzichten ( BGE 149 IV 231 E. 2.1.2; 147 IV 453 E. 1.4.5; 145 IV 455 E. 9.4; 144 IV 332 E. 3.3; je mit Hinweisen). Die Vorinstanz führt zutreffend aus, bei der Auseinandersetzung mit möglichen Umständen, die eine individuell-persönliche Gefährdung begründen würden, treffe den Beschwerdeführer trotz Geltung des Untersuchungsgrundsatzes eine Mitwirkungspflicht (Urteile 6B_988/2023 vom 5. Juli 2024 E. 1.8.3; 6B_542/2023 vom 15. Februar 2024 E. 1.3.7.2; 6B_86/2022 vom 22. März 2023 E. 2.1.2; je mit Hinweisen). Was der Beschwerdeführer diesbezüglich in seiner Beschwerde vor Bundesgericht vorbringt, verfängt nicht. Er führt aus, die Lage in Russland sei aufgrund des anhaltend eskalierenden Krieges äusserst unberechenbar und gefährlich, weshalb dies im Rahmen der Beurteilung eines schweren persönlichen Härtefalls zu berücksichtigen sei. Jedoch reicht es nicht aus, pauschal geltend zu machen, die Vorinstanz hätte die Situation des Beschwerdeführers hinsichtlich der Landesverweisung nicht genüglich abgeklärt, ohne dabei aber diejenigen Umstände begründet vorzubringen, die in seiner konkreten Situation eine Gefährdungslage begründen würden. Gemäss den vorinstanzlichen Ausführungen hat es der Beschwerdeführer betreffend seine konkrete Lebenssituation bei allgemeinen Ausführungen belassen und sich lediglich dahingehend geäussert, er gehe davon aus, in Tschetschenien verprügelt zu werden und dass er sich anbieten müsse, um Vergebung erlangen zu können. Damit ist - mit der Vorinstanz - keine konkrete Gefahr für Leib und Leben, die einer Landesverweisung entgegenstehen würde (vgl. Art. 66d StGB ), dargetan oder ersichtlich. Ein schwerer persönlicher Härtefall wird dadurch jedenfalls nicht begründet. Ebenso wenig liegt nach diesen Ausführungen eine Verletzung des rechtlichen Gehörs vor. Soweit sich der Beschwerdeführer zur Begründung seiner Rüge zudem auf Noven bezieht, ist darauf entgegen seiner Auffassung nicht einzugehen. Neue Tatsachen und Beweismittel dürfen nur so weit vorgebracht werden, als erst der Entscheid der Vorinstanz dazu Anlass gibt ( Art. 99 Abs. 1 BGG ). Dies ist bei der von ihm als Beweismittel eingereichten Aufforderung bzw. Einberufung zum Militärdienst vom Mai 2024 nicht der Fall. Gleiches gilt für den von ihm geschilderten Vorfall vom 22. März 2024 - das vorinstanzliche Urteil erging am 14. Februar 2024. Anzumerken bleibt, dass die Vollzugsbehörden zur Prüfung allfälliger Vollzugshindernisse, die zum Zeitpunkt des Sachurteils noch nicht feststehen, zuständig sind (Urteile 6B_988/2023 vom 5. Juli 2024 E. 1.8.1; 6B_33/2022 vom 9. Dezember 2022 E. 3.2.5; je mit Hinweisen).</w:t>
      </w:r>
    </w:p>
    <w:p>
      <w:r>
        <w:rPr>
          <w:b/>
        </w:rPr>
        <w:t>E. 1.4.4</w:t>
      </w:r>
    </w:p>
    <w:p>
      <w:r>
        <w:t>Schliesslich prüft die Vorinstanz das Vorliegen eines schweren persönlichen Härtefalls auch unter dem Aspekt des Rechts des Beschwerdeführers auf Familienleben ( Art. 8 EMRK ). Sie führt aus, er sei von seiner ehemaligen Freundin, der Mutter seiner Töchter, getrennt; diese gehöre nicht mehr zu seiner Kernfamilie und sei nicht vom Schutzbereich von Art. 8 Ziff. 2 EMRK erfasst. Seine beiden Töchter im Alter von vier und sechs Jahren seien indes von einer Landesverweisung direkt betroffen. Jedoch hätte eine strafrechtliche Landesverweisung des Beschwerdeführers nicht das Auseinanderreissen einer intakten und tatsächlich gelebten Familiengemeinschaft zur Folge, zumal er bereits aktuell über keinen gültigen Aufenthaltstitel mehr verfüge und die Schweiz verlassen müsse. Dem Beschwerdeführer ist nicht zu folgen, wenn er in diesem Zusammenhang geltend macht, es sei absolut sachfremd und willkürlich, wenn die Vorinstanz den fehlenden gültigen Aufenthaltstitel in ihre Würdigung miteinbeziehe. Es gilt stets zu prüfen, ob eine Landesverweisung eine tatsächlich gelebte familiäre Beziehung einer in der Schweiz gefestigt anwesenheitsberechtigten Person beeinträchtigt (vgl. oben E. 1.3.7). Weshalb die Vorinstanz dabei nicht auf den Status des Beschwerdeführers eingehen dürfen sollte, erhellt nicht. Die Vorinstanz stellt weiter auch fest, der Beschwerdeführer habe seine Töchter seit seiner Inhaftierung am 7. Januar 2021 lediglich anlässlich zweier Gefängnisbesuche im Juni und Juli 2023 gesehen; der Kontakt sei seit Jahren stark eingeschränkt. Hinzu komme, dass er nie einen Unterhaltsbeitrag bezahlt habe, obwohl er dazu verpflichtet gewesen wäre. Der Beschwerdeführer führt dagegen aus, entgegen der Auffassung der Vorinstanz sei durchaus von einer engen Vater-Tochter-Beziehung auszugehen. Er habe bis zur Verhaftung mit seinen Töchtern zusammengelebt und auch bis vor Familiengericht für Besuche seiner Töchter gekämpft. Während des Gefängnisaufenthalts sei es zu erheblichen Differenzen mit der Kindsmutter gekommen, was jedoch der Beziehung zu seinen Töchtern den engen Charakter nicht abspreche. Mit seiner Begründung vermag er aber weder eine willkürliche Sachverhaltsfeststellung noch eine falsche Würdigung durch die Vorinstanz darzutun. Vielmehr belässt er es grösstenteils dabei, seine eigene Sicht der Dinge zu präsentieren, wobei er den Begründungsanforderungen vor Bundesgericht nicht zu genügen vermag ( Art. 42 Abs. 2 BGG ). Gestützt auf die vorinstanzlichen Feststellungen durfte die Vorinstanz eine nahe, echte und tatsächlich gelebte familiäre Beziehung zwischen dem Beschwerdeführer und seinen Töchtern verneinen. Ihr kann ebenso wenig vorgeworfen werden, sie lasse die familiäre Situation des Beschwerdeführers in ihrer Härtefallprüfung ausser Acht, führt sie doch zu Recht aus, im Übrigen könne die Beziehung zu den Kindern in einem gewissen Masse über moderne Kommunikationsmittel oder allenfalls über bewilligungsfähige Kurzaufenthalte gepflegt werden (vgl. BGE 143 I 21 E. 5.3; vgl. auch Urteil 6B_255/2021 vom 3. Oktober 2022 E. 1.3.3 mit Hinweis). Dagegen wendet der Beschwerdeführer nichts ein.</w:t>
      </w:r>
    </w:p>
    <w:p>
      <w:r>
        <w:rPr>
          <w:b/>
        </w:rPr>
        <w:t>E. 1.5</w:t>
      </w:r>
    </w:p>
    <w:p>
      <w:r>
        <w:t>Insgesamt durfte die Vorinstanz das Vorliegen eines schweren persönlichen Härtefalls i.S.v. Art. 66a Abs. 2 StGB bzw. Art. 8 Ziff. 1 EMRK verneinen. Selbst bei Annahme eines schweren persönlichen Härtefalls wäre die durch die Vorinstanz angeordnete Landesverweisung rechtens. Die Vorinstanz erwägt zu Recht, die hohen öffentlichen Interessen an der Landesverweisung würden die privaten Interessen des Beschwerdeführers an einem Verbleib in der Schweiz deutlich überwiegen. Auch in dieser Hinsicht zeigt der Beschwerdeführer grösstenteils lediglich seine eigene Sicht der Dinge auf ( Art. 42 Abs. 2 BGG ); dies insbesondere, wenn er erneut von der drohenden unmittelbaren Gefahr für Leib und Leben spricht. Er macht geltend, es dürfe nicht sein, dass die vorgeworfenen Bestellbetrüge in der Schweiz de facto höher gewichtet würden als Leib und Leben des Beschwerdeführers. Indes setzt er sich nicht mit der vorinstanzlichen Argumentation auseinander. Dies, obwohl die Vorinstanz nachvollziehbar ausführt, mit dem vom Beschwerdeführer begangenen Vermögensdelikt seien zwar nicht die höchsten Rechtsgüter betroffen, dennoch habe der Beschwerdeführer eine erhebliche kriminelle Energie offenbart. Sie berücksichtigt, dass der Beschwerdeführer zu einer unbedingten Freiheitsstrafe von 3,5 Jahren verurteilt wurde und damit bereits von hohen öffentlichen Interessen auszugehen ist (vgl. oben E. 1.3.6). Ausserordentliche Umstände werden weder dargetan noch sind solche ersichtlich. Ebenso geht die Vorinstanz zu Recht auf die zahlreichen früheren Verurteilungen des Beschwerdeführers ein und führt aus, bei ihm handle es sich um einen unbelehrbaren und regelmässigen Wiederholungstäter, der sich von Verurteilungen nicht abschrecken lasse und eine hohe Gleichgültigkeit und fehlenden Respekt gegenüber dem Straf- und Vollzugssystem zeige. Es ist nicht zu beanstanden und wird vom Beschwerdeführer auch nicht begründet gerügt, wenn die Vorinstanz gestützt darauf von einer negativen Legalprognose und insgesamt von hohen öffentlichen Interessen an einer Landesverweisung ausgeht, die seine privaten Interessen an einem Verbleib in der Schweiz überwiegen.</w:t>
      </w:r>
    </w:p>
    <w:p>
      <w:r>
        <w:rPr>
          <w:b/>
        </w:rPr>
        <w:t>E. 1.6</w:t>
      </w:r>
    </w:p>
    <w:p>
      <w:r>
        <w:t>Die Landesverweisung erweist sich nach diesen Erwägungen als rechtskonform.</w:t>
      </w:r>
    </w:p>
    <w:p>
      <w:r>
        <w:rPr>
          <w:b/>
        </w:rPr>
        <w:t>E. 2</w:t>
      </w:r>
    </w:p>
    <w:p>
      <w:r>
        <w:t>Die Beschwerde ist abzuweisen, soweit darauf eingetreten werden kann. Die Gerichtskosten sind dem Beschwerdeführer aufzuerlegen ( Art. 66 Abs. 1 BGG ). Das Gesuch um unentgeltliche Rechtspflege und Verbeiständung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