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6B_717/2013 vom 7. März 2014</w:t>
      </w:r>
    </w:p>
    <w:p>
      <w:r>
        <w:t>Bundesgericht, 2014-03-07, DE</w:t>
      </w:r>
    </w:p>
    <w:p>
      <w:r>
        <w:rPr>
          <w:b/>
        </w:rPr>
        <w:t xml:space="preserve">Quelle: </w:t>
      </w:r>
      <w:r>
        <w:t>https://mcp.opencaselaw.ch/entscheid/bger_6B_717_2013</w:t>
      </w:r>
    </w:p>
    <w:p>
      <w:r>
        <w:t>FR: TF 6B_717/2013 du 7 mars 2014</w:t>
      </w:r>
    </w:p>
    <w:p>
      <w:r>
        <w:t>IT: TF 6B_717/2013 del 7 marzo 2014</w:t>
      </w:r>
    </w:p>
    <w:p>
      <w:pPr>
        <w:pStyle w:val="Heading2"/>
      </w:pPr>
      <w:r>
        <w:t>Erwägungen</w:t>
      </w:r>
    </w:p>
    <w:p>
      <w:r>
        <w:rPr>
          <w:b/>
        </w:rPr>
        <w:t>E. 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Nach Art. 81 Abs. 1 lit. b Ziff. 5 BGG wird der Privatklägerschaft ein rechtlich geschütztes Interesse zuerkannt, wenn der angefochtene Entscheid sich auf die Beurteilung ihrer Zivilansprüche auswirken kann. Dies setzt grundsätzlich voraus, dass jene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 BGE 137 IV 246 E. 1.3.1).</w:t>
      </w:r>
    </w:p>
    <w:p>
      <w:r>
        <w:t>Der Beschwerdeführer legt nicht dar, inwiefern sich der angefochtene Beschluss auf seine Zivilforderungen auswirkt. Er macht lediglich sinngemäss geltend, er habe aufgrund des angezeigten Verhaltens einen finanziellen Nachteil erlitten, indem er vom AWA für sieben Tage in der Anspruchsberechtigung eingestellt worden sei, was einem Vermögensschaden von Fr. 2'370.90 entspreche. Ob dies für die Bejahung der Legitimation nach Art. 81 Abs. 1 lit. b Ziff. 5 BGG genügt, kann offenbleiben, da sich die Beschwerde ohnehin als unbegründet erweist.</w:t>
      </w:r>
    </w:p>
    <w:p>
      <w:r>
        <w:rPr>
          <w:b/>
        </w:rPr>
        <w:t>E. 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 wenn Verfahrenshindernisse bestehen (lit. b) oder wenn aus Gründen der Opportunität auf eine Strafverfolgung zu verzichten ist (lit. c i.V.m mit Art. 8 StPO ).</w:t>
      </w:r>
    </w:p>
    <w:p>
      <w:r>
        <w:t>Die Frage, ob ein Strafverfahren durch die Strafverfolgungsbehörde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Im Zweifelsfall, wenn die Nichtanhandnahmegründe nicht mit absoluter Sicherheit gegeben sind, muss das Verfahren eröffnet werden (vgl. BGE 137 IV 285 E. 2.3). Der Grundsatz "in dubio pro duriore" ist unter Würdigung der im Einzelfall gegebenen Umstände zu handhaben. Die Staatsanwaltschaft und die Beschwerdeinstanz verfügen insoweit über einen gewissen Spielraum, den das Bundesgericht nur mit Zurückhaltung überprüft ( BGE 138 IV 86 E. 4.1.1 f./4.2 und 186 E. 4.1; je mit Hinweisen).</w:t>
      </w:r>
    </w:p>
    <w:p>
      <w:r>
        <w:rPr>
          <w:b/>
        </w:rPr>
        <w:t>E. 2.2</w:t>
      </w:r>
    </w:p>
    <w:p>
      <w:r>
        <w:t>Der Nötigung im Sinne von Art. 181 StGB macht sich schuldig,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134 IV 216 E. 4.4.3; 129 IV 6 E. 2.1). Die Strafnorm setzt voraus, dass das Opfer durch die Anwendung der genannten Zwangsmittel in seiner Handlungsfreiheit beeinträchtigt und auf diese Weise - gegen seinen Willen - zu einem bestimmten Verhalten veranlasst wird (vgl. dazu BGE 104 IV 170 E. 2). Misslingt die Bestimmung von Willensbildung oder Willensbetätigung, bleibt es beim Versuch ( BGE 106 IV 125 E. 1b).</w:t>
      </w:r>
    </w:p>
    <w:p>
      <w:r>
        <w:t>Die Nötigungshandlung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134 IV 216 E. 4.1; 129 IV 6 E. 3.4; 119 IV 301 E. 2b; 108 IV 165 E. 3 je mit Hinweisen).</w:t>
      </w:r>
    </w:p>
    <w:p>
      <w:r>
        <w:rPr>
          <w:b/>
        </w:rPr>
        <w:t>E. 3</w:t>
      </w:r>
    </w:p>
    <w:p>
      <w:r>
        <w:t>Der angefochtene Beschluss verletzt kein Bundesrecht. Art. 17 Abs. 3 lit. a AVIG auferlegt der versicherten Person die Pflicht, auf Weisung der zuständigen Amtsstelle an arbeitsmarktlichen Massnahmen teilzunehmen, die ihre Vermittlungsfähigkeit fördern. Gemäss Art. 30 Abs. 1 AVIG ist die versicherte Person in der Anspruchsberechtigung u.a. einzustellen, wenn sie die Weisungen der zuständigen Amtsstelle nicht befolgt, namentlich wenn sie eine arbeitsmarktliche Massnahme ohne entschuldbaren Grund nicht antritt, diese abbricht oder deren Durchführung oder Zweck durch ihr Verhalten beeinträchtigt oder verunmöglicht (lit. d). Wie die Vorinstanz zu Recht annimmt, waren im zu beurteilenden Fall sowohl die Förderung der Vermittlungsfähigkeit des Beschwerdeführers als auch die Zuweisung zum Kurs "JobBasis A" rechtmässig. Mittel und Zweck stehen in einem angemessenen Verhältnis. Wird die arbeitsmarktliche Massnahme nicht aktiv besucht, kann die Vermittlungsfähigkeit nicht gefördert werden, was sich wiederum negativ auf die Stellensuche und letztlich auf die Belastung der Arbeitslosenkasse auswirkt. Die Kursleiterin und die operative Leiterin der Kursanbieterin vollzogen die Verfügung des RAV vom 30. November 2011, mit welcher der Beschwerdeführer angewiesen worden war, am besagten Kurs teilzunehmen. Damit mussten sie sich an die gesetzlichen Vorgaben des AIVG halten. Indem sie dem Beschwerdeführer die möglichen Folgen seines Verhaltens, nämlich den Kursabbruch mit Erwähnung der finanziellen Konsequenzen, vor Augen führten, wiesen sie ihn lediglich auf die gesetzlichen Folgen gemäss Art. 30 Abs. 1 lit. d AVIG hin. Damit ist ihr Verhalten evidentermassen nicht rechtswidrig. Die Vorinstanz gelangt daher zu Recht zum Schluss, für die Durchführung eines Strafverfahrens gegen die angezeigten Personen bleibe kein Raum, zumal den beiden angezeigten Personen auch kein vorsätzliches Handeln vorgeworfen werden könne (angefochtener Beschluss S. 8; vgl. auch Nichtanhandnahmeverfügung S. 3).</w:t>
      </w:r>
    </w:p>
    <w:p>
      <w:r>
        <w:t>Was der Beschwerdeführer unter Hinweis auf eine Stellungnahme des Datenschutzbeauftragten des Kantons Zürich in Bezug auf den Eingriff in seine Privatsphäre und die Verletzung datenrechtlicher Bestimmungen vorbringt, führt zu keinem anderen Ergebnis. Die Vorinstanz führt zu Recht aus, der Beschwerdeführer hätte allfällige Einwände gegen den Kursabbruch im Zusammenhang mit der verfügten Einstellung in der Anspruchsberechtigung auf dem Rechtsmittelweg gegen die Verfügung des AWA vom 13. Februar 2012 bzw. den Einspracheentscheid vom 23. Mai 2012 erheben müssen (angefochtener Beschluss S. 9).</w:t>
      </w:r>
    </w:p>
    <w:p>
      <w:r>
        <w:rPr>
          <w:b/>
        </w:rPr>
        <w:t>E. 4</w:t>
      </w:r>
    </w:p>
    <w:p>
      <w:r>
        <w:t>Aus diesen Gründen ist die Beschwerde abzuweisen. Bei diesem Ausgang trägt der Beschwerdeführer die Kosten des bundesgerichtlichen Verfahrens mit einer reduzierten Gebühr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