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6B_717/2011 vom 17. Januar 2012</w:t>
      </w:r>
    </w:p>
    <w:p>
      <w:r>
        <w:t>Bundesgericht, 2012-01-17, FR</w:t>
      </w:r>
    </w:p>
    <w:p>
      <w:r>
        <w:rPr>
          <w:b/>
        </w:rPr>
        <w:t xml:space="preserve">Quelle: </w:t>
      </w:r>
      <w:r>
        <w:t>https://mcp.opencaselaw.ch/entscheid/bger_6B_717_2011</w:t>
      </w:r>
    </w:p>
    <w:p>
      <w:r>
        <w:t>FR: TF 6B_717/2011 du 17 janvier 2012</w:t>
      </w:r>
    </w:p>
    <w:p>
      <w:r>
        <w:t>IT: TF 6B_717/2011 del 17 gennaio 2012</w:t>
      </w:r>
    </w:p>
    <w:p>
      <w:pPr>
        <w:pStyle w:val="Heading2"/>
      </w:pPr>
      <w:r>
        <w:t>Erwägungen</w:t>
      </w:r>
    </w:p>
    <w:p>
      <w:r>
        <w:rPr>
          <w:b/>
        </w:rPr>
        <w:t>E. 1</w:t>
      </w:r>
    </w:p>
    <w:p>
      <w:r>
        <w:t>Le recourant considère la peine infligée comme excessivement clémente.</w:t>
      </w:r>
    </w:p>
    <w:p>
      <w:r>
        <w:rPr>
          <w:b/>
        </w:rPr>
        <w:t>E. 1.1</w:t>
      </w:r>
    </w:p>
    <w:p>
      <w:r>
        <w:t>Les art. 47 et 50 CP codifient la jurisprudence relative à la fixation et à la motivation de la peine rendue en application de l'art. 63 aCP, laquelle conserve ainsi sa valeur, de sorte qu'on peut s'y référer (cf. ATF 134 IV 17 consid. 2.1 p. 19/20 et les arrêts cités). Il suffit au reste de rappeler que, pour fixer la peine, le juge dispose d'un large pouvoir d'appréciation.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60 et l'arrêt cité).</w:t>
      </w:r>
    </w:p>
    <w:p>
      <w:r>
        <w:rPr>
          <w:b/>
        </w:rPr>
        <w:t>E. 1.2</w:t>
      </w:r>
    </w:p>
    <w:p>
      <w:r>
        <w:t>Le recourant relève que son appel joint a été admis au plan cantonal mais que la cour cantonale a maintenu la peine fixée en première instance. Ce faisant, il ne dit pas en quoi le droit matériel aurait été incorrectement appliqué ni ne démontre que la procédure cantonale, alors applicable ( art. 453 al. 1 CPP ), l'aurait été arbitrairement. Sa remarque ne constitue pas un grief recevable au regard des art. 42 al. 2 et 106 al. 2 LTF.</w:t>
      </w:r>
    </w:p>
    <w:p>
      <w:r>
        <w:rPr>
          <w:b/>
        </w:rPr>
        <w:t>E. 1.3</w:t>
      </w:r>
    </w:p>
    <w:p>
      <w:r>
        <w:t>Le recourant ne prétend pas que la cour cantonale serait sortie du cadre légal ni qu'elle aurait omis ou pris en considération à tort certains éléments pertinents. Il soutient uniquement que la peine serait excessivement clémente. Il considère qu'une peine de 3 ans aurait dû être prononcée.</w:t>
      </w:r>
    </w:p>
    <w:p>
      <w:r>
        <w:t>L'écart de 6 mois entre la peine considérée comme appropriée par le recourant (3 ans) et celle effectivement prononcée (30 mois) est trop ténu pour pouvoir faire apparaître cette dernière comme excessivement clémente. Au regard de la peine que réclame le recourant, une violation du droit fédéral n'entre pas en considération.</w:t>
      </w:r>
    </w:p>
    <w:p>
      <w:r>
        <w:t>Selon les constatations cantonales, l'intimé n'a pas intentionnellement voulu mettre la victime hors d'état de résister en lui offrant de l'alcool (jugement attaqué, p. 20). La cour cantonale a qualifié la faute de l'intimé de grave. Elle a mis en avant qu'il s'en était pris à une jeune victime, en état d'ébriété patent, qu'il n'avait pas tenu compte de son refus, qu'il avait agi de manière purement égoïste, qu'il avait contesté les faits en cours de procédure, qu'il n'avait pas exprimé de regrets ni pris conscience de la gravité de ses actes et que ses antécédents n'étaient pas bons. Elle a aussi reproché à l'intimé de n'avoir pas réfréné ses ardeurs alors qu'il faisait l'objet d'une autre procédure pénale pour des faits similaires (cf. jugement attaqué p. 27). La prise en compte de ce dernier élément n'apparaît pas légitime dans l'appréciation de la culpabilité dès lors que le recourant a en définitive été acquitté dans cette autre procédure et qu'un jugement d'acquittement avait déjà été rendu en première instance au moment des faits ici litigieux (cf. jugement attaqué p. 7 dernier § et p. 8). Il n'en reste pas moins que la faute de l'intimé est lourde et que son attitude de déni en procédure lui est imputable à charge. La peine doit aussi tenir compte du concours d'infractions. Au vu de ces différents éléments, la peine prononcée apparaît favorable à l'intimé en ce sens qu'elle est clémente. On ne saurait toutefois dire qu'elle est excessivement clémente au point de constituer un abus du pouvoir d'appréciation. Elle se situe à la limite inférieure admissible dans les circonstances d'espèce. Le recours n'est donc pas fondé à cet égard.</w:t>
      </w:r>
    </w:p>
    <w:p>
      <w:r>
        <w:rPr>
          <w:b/>
        </w:rPr>
        <w:t>E. 2</w:t>
      </w:r>
    </w:p>
    <w:p>
      <w:r>
        <w:t>Le recourant conteste aussi l'octroi du sursis partiel.</w:t>
      </w:r>
    </w:p>
    <w:p>
      <w:r>
        <w:t>Selon l' art. 43 CP , le juge peut suspendre partiellement l'exécution d'une peine pécuniaire, d'un travail d'intérêt général ou d'une peine privative de liberté d'un an au moins et de trois ans au plus afin de tenir compte de façon appropriée de la faute de l'auteur (al. 1). Dans le cas des peines privatives de liberté qui excèdent la limite fixée pour l'octroi du sursis complet - soit entre deux et trois ans -, l' art. 43 CP s'applique de manière autonome. En effet exclu dans ces cas, le sursis complet est alors remplacé par le sursis partiel pour autant qu'il n'y ait pas de pronostic défavorable ( ATF 134 IV 1 consid. 5.3.2 et consid. 5.5.1).</w:t>
      </w:r>
    </w:p>
    <w:p>
      <w:r>
        <w:t>Les conditions subjectives permettant l'octroi du sursis ( art. 42 CP ), à savoir les perspectives d'amendement, valent également pour le sursis partiel dès lors que la référence au pronostic ressort implicitement du but et du sens de l' art. 43 CP . Ainsi, lorsque le pronostic quant au comportement futur de l'auteur n'est pas défavorable et qu'un sursis complet est exclu, la loi exige que l'exécution de la peine soit partiellement suspendue. Mais un pronostic défavorable exclut tout sursis, même partiel. En effet, s'il n'existe aucune perspective que l'auteur puisse être influencé de quelque manière par un sursis complet ou partiel, la peine doit être entièrement exécutée ( ATF 134 IV 1 consid. 5.3.1 p. 10).</w:t>
      </w:r>
    </w:p>
    <w:p>
      <w:r>
        <w:t>En l'espèce, les conditions objectives du sursis partiel sont réalisées. Sur le plan subjectif, il faut relever les mauvais antécédents de l'intimé (condamnations à des peines de 5, 10 et 20 jours pour infractions contre le patrimoine et menace), sa propension à nier les faits, son absence de remords et de prise de conscience. Ces éléments parlent dans le sens d'un pronostic défavorable. La cour cantonale a toutefois relevé que l'intimé n'avait pas commis de nouvelles infractions depuis près de 4 ans, qu'il exerçait une activité professionnelle continue, qu'il allait prochainement se marier et qu'un enfant était attendu. Elle a considéré que les éléments précités permettaient de contrebalancer ceux défavorables et excluaient de pouvoir poser un pronostic totalement défavorable, de sorte que l'exécution d'une partie de la peine apparaissait suffisante (cf. jugement attaqué p. 28). Dans la mesure où le recourant paraît mettre en cause le prochain mariage de l'intimé en relevant qu'il a simplement été allégué, il s'écarte de manière inadmissible des constatations cantonales, dont il ne démontre pas dans les formes requises par l' art. 106 al. 2 LTF qu'elles auraient été établies arbitrairement. Les éléments pris en compte par la cour cantonale pour contrebalancer ceux défavorables sont pertinents. La solution cantonale est certes clémente à l'égard de l'intimé. On ne saurait toutefois considérer que cette solution procède d'un abus du pouvoir d'appréciation en la matière. Le grief doit donc être rejeté dans la mesure où il est recevable.</w:t>
      </w:r>
    </w:p>
    <w:p>
      <w:r>
        <w:rPr>
          <w:b/>
        </w:rPr>
        <w:t>E. 3</w:t>
      </w:r>
    </w:p>
    <w:p>
      <w:r>
        <w:t>En conclusion, le recours est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