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716/2019 vom 4. Juli 2019</w:t>
      </w:r>
    </w:p>
    <w:p>
      <w:r>
        <w:t>Bundesgericht, 2019-07-04, FR</w:t>
      </w:r>
    </w:p>
    <w:p>
      <w:r>
        <w:rPr>
          <w:b/>
        </w:rPr>
        <w:t xml:space="preserve">Quelle: </w:t>
      </w:r>
      <w:r>
        <w:t>https://mcp.opencaselaw.ch/entscheid/bger_6B_716_2019</w:t>
      </w:r>
    </w:p>
    <w:p>
      <w:r>
        <w:t>FR: TF 6B 716/2019 du 4 juillet 2019</w:t>
      </w:r>
    </w:p>
    <w:p>
      <w:r>
        <w:t>IT: TF 6B 716/2019 del 4 luglio 2019</w:t>
      </w:r>
    </w:p>
    <w:p>
      <w:pPr>
        <w:pStyle w:val="Heading2"/>
      </w:pPr>
      <w:r>
        <w:t>Regeste</w:t>
      </w:r>
    </w:p>
    <w:p>
      <w:r>
        <w:t>Irrecevabilité du recours en matière pénale (tardiveté de la déclaration d'appel; demande de restitution de délai) | Infractions</w:t>
      </w:r>
    </w:p>
    <w:p>
      <w:pPr>
        <w:pStyle w:val="Heading2"/>
      </w:pPr>
      <w:r>
        <w:t>Erwägungen</w:t>
      </w:r>
    </w:p>
    <w:p>
      <w:r>
        <w:rPr>
          <w:b/>
        </w:rPr>
        <w:t>E. 1</w:t>
      </w:r>
    </w:p>
    <w:p>
      <w:r>
        <w:t>Par arrêt du 9 mai 2019, la Chambre pénale d'appel et de révision de la Cour de justice de la République et canton de Genève a déclaré irrecevable l'appel formé par X.________ contre le jugement du Tribunal de police genevois la condamnant pour injure à une peine pécuniaire de 30 jours-amende à 15 fr. le jour, avec sursis pendant trois ans et statuant sur les différentes prétentions civiles et indemnités des parties plaignantes. En substance, la cour cantonale a retenu que la déclaration d'appel formée par la recourante avait été déposée à la poste un jour après l'échéance du délai de 20 jours pour son dépôt et que son appel était, partant, irrecevable. En outre, elle n'a pas accordé la restitution du délai, estimant que la panne informatique dont se prévalait X.________ ne constituait pas un empêchement non fautif mais était due à la négligence fautive de celle-ci. X.________ forme un recours en matière pénale au Tribunal fédéral contre l'arrêt précité. Elle a requis l'assistance judiciaire.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L'argumentation de la recourante consiste en une vaste rediscussion des faits. Ce faisant, elle ne fait qu'opposer sa propre version à celle de la cour cantonale, dans une démarche purement appellatoire. Il en va de même lorsque la recourante se fonde sur des faits non constatés dans l'arrêt attaqué, sans qu'elle ne cherche à démontrer qu'ils auraient été arbitrairement omis. Les critiques de la recourante ne répondent ainsi pas aux exigences de motivation accrues de l' art. 106 al. 2 LTF et sont, par conséquent, irrecevables. Pour le surplus, la recourante ne cherche pas à démontrer en quoi la cour cantonale aurait violé le droit, en particulier l' art. 94 al. 1 CPP , en estimant que la panne informatique dont elle se prévaut ne constitue pas un empêchement non fautif. La recourante se plaint de ce que l'autorité précédente se réfère à de la jurisprudence rendue postérieurement à sa demande de restitution de délai. A cet égard, il suffit de relever qu'une nouvelle jurisprudence est en règle générale applicable immédiatement à toutes les procédures pendantes ou futures ( ATF 142 V 551 consid. 4.1 p. 558; 135 II 78 consid. 3.2 p. 85).</w:t>
      </w:r>
    </w:p>
    <w:p>
      <w:r>
        <w:rPr>
          <w:b/>
        </w:rPr>
        <w:t>E. 3</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pour ce motif ( art. 64 al. 1 LTF ). La recourante,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