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715/2019 vom 3. Juli 2019</w:t>
      </w:r>
    </w:p>
    <w:p>
      <w:r>
        <w:t>Bundesgericht, 2019-07-03, FR</w:t>
      </w:r>
    </w:p>
    <w:p>
      <w:r>
        <w:rPr>
          <w:b/>
        </w:rPr>
        <w:t xml:space="preserve">Quelle: </w:t>
      </w:r>
      <w:r>
        <w:t>https://mcp.opencaselaw.ch/entscheid/bger_6B_715_2019</w:t>
      </w:r>
    </w:p>
    <w:p>
      <w:r>
        <w:t>FR: TF 6B 715/2019 du 3 juillet 2019</w:t>
      </w:r>
    </w:p>
    <w:p>
      <w:r>
        <w:t>IT: TF 6B 715/2019 del 3 luglio 2019</w:t>
      </w:r>
    </w:p>
    <w:p>
      <w:pPr>
        <w:pStyle w:val="Heading2"/>
      </w:pPr>
      <w:r>
        <w:t>Regeste</w:t>
      </w:r>
    </w:p>
    <w:p>
      <w:r>
        <w:t>Décision de non-entrée en matière (infraction à la loi fédérale sur la protection des données, etc.) | Procédure pénale</w:t>
      </w:r>
    </w:p>
    <w:p>
      <w:pPr>
        <w:pStyle w:val="Heading2"/>
      </w:pPr>
      <w:r>
        <w:t>Erwägungen</w:t>
      </w:r>
    </w:p>
    <w:p>
      <w:r>
        <w:rPr>
          <w:b/>
        </w:rPr>
        <w:t>E. 1</w:t>
      </w:r>
    </w:p>
    <w:p>
      <w:r>
        <w:t>Par acte daté du 13 juin 2019, X.________ recourt en matière pénale au Tribunal fédéral contre une décision du 13 mai 2019, par laquelle la Chambre pénale des recours du Tribunal cantonal jurassien a rejeté le recours formé par l'intéressé contre une ordonnance du Ministère public jurassien du 27 février 2019. Par cette dernière, le procureur en charge du dossier a refusé d'entrer en matière sur la plainte pénale déposée par X.________ le 21 janvier 2019 à l'encontre de la Commission cantonale des recours en matière d'impôts, pour infraction à la loi fédérale sur la protection des données, au secret de fonction et professionnel, au droit au respect de la vie privée et familiale, atteinte à la personnalité et infraction au principe de célérité. En bref, X.________ se plaignait que des éléments de son dossier fiscal avaient été transmis à une commune.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 En l'espèce, le recourant ne s'exprime d'aucune manière sur cette question et la réponse à y apporter peut d'autant moins se déduire de la nature de l'affaire que la plainte objet du refus d'entrer en matière était dirigée contre une Commission cantonale de recours. Or, conformément à l'art. 63 de la Loi jurassienne du 22 septembre 2010 sur le personnel de l'Etat (RS/JU 173.11), qui s'applique notamment au Président de la Commission cantonale des recours en matière d'impôts en sa qualité de magistrat ( art. 4 al. 1 let . c de la même loi), l'Etat répond du dommage causé sans droit à un tiers par un employé dans l'exercice de sa charge (al. 1). Le lésé n'a aucune action contre l'employé (al. 2), ce qui exclut le caractère civil d'éventuelles prétentions en réparation du dommage causé par les personnes soumises à cette loi.</w:t>
      </w:r>
    </w:p>
    <w:p>
      <w:r>
        <w:rPr>
          <w:b/>
        </w:rPr>
        <w:t>E. 3</w:t>
      </w:r>
    </w:p>
    <w:p>
      <w:r>
        <w:t>Pour le surplus, on ne discerne, dans l'écriture du 13 juin 2019, aucun développement précis relatif au droit de porter plainte (cf. art. 81 al. 1 let. b ch. 6 LTF) et le recourant n'invoque la violation de son droit d'être entendu que pour critiquer le refus de la Commission cantonale des recours en matière fiscale de se déterminer sur le sort du recours tranché par la décision querellée. Il n'y a là aucune critique entièrement séparée du fond dirigée contre l'autorité de dernière instance cantonale, respectivement la décision qu'elle a rendue, qui serait susceptible de conférer la qualité pour recourir en matière pénale au Tribunal fédéral (cf. ATF 141 IV 1 consid. 1.1 p. 5; 136 IV 29 consid. 1.9 p. 40 et les références citées).</w:t>
      </w:r>
    </w:p>
    <w:p>
      <w:r>
        <w:rPr>
          <w:b/>
        </w:rPr>
        <w:t>E. 4</w:t>
      </w:r>
    </w:p>
    <w:p>
      <w:r>
        <w:t>Au vu de ce qui précède le recours est manifestement irrecevable, ce qu'il convient de constater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