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6B_715/2017 vom 23. Februar 2018</w:t>
      </w:r>
    </w:p>
    <w:p>
      <w:r>
        <w:t>Bundesgericht, 2018-02-23, FR</w:t>
      </w:r>
    </w:p>
    <w:p>
      <w:r>
        <w:rPr>
          <w:b/>
        </w:rPr>
        <w:t xml:space="preserve">Quelle: </w:t>
      </w:r>
      <w:r>
        <w:t>https://mcp.opencaselaw.ch/entscheid/bger_6B_715_2017</w:t>
      </w:r>
    </w:p>
    <w:p>
      <w:r>
        <w:t>FR: TF 6B_715/2017 du 23 février 2018</w:t>
      </w:r>
    </w:p>
    <w:p>
      <w:r>
        <w:t>IT: TF 6B_715/2017 del 23 febbraio 2018</w:t>
      </w:r>
    </w:p>
    <w:p>
      <w:pPr>
        <w:pStyle w:val="Heading2"/>
      </w:pPr>
      <w:r>
        <w:t>Erwägungen</w:t>
      </w:r>
    </w:p>
    <w:p>
      <w:r>
        <w:rPr>
          <w:b/>
        </w:rPr>
        <w:t>E. 1</w:t>
      </w:r>
    </w:p>
    <w:p>
      <w:r>
        <w:t>Le recourant reproche à la cour cantonale de n'avoir pas assorti d'un sursis complet la peine privative de liberté qu'elle lui a infligée, violant ainsi l' art. 42 CP . Il lui fait par ailleurs grief de s'être écartée sans aucune motivation de l'appréciation des experts-psychiatres et se prévaut, dans ce contexte, de l'interdiction de l'arbitraire ( art. 9 Cst. ).</w:t>
      </w:r>
    </w:p>
    <w:p>
      <w:r>
        <w:rPr>
          <w:b/>
        </w:rPr>
        <w:t>E. 1.1</w:t>
      </w:r>
    </w:p>
    <w:p>
      <w:r>
        <w:t>Selon l' art. 42 al. 1 CP , le juge suspend en règle générale l'exécution d'une peine privative de liberté de six mois au moins et de deux ans au plus lorsqu'une peine ferme ne paraît pas nécessaire pour détourner l'auteur d'autres crimes ou délits. L' art. 43 al. 1 CP prévoit que le juge peut suspendre partiellement l'exécution d'une peine privative de liberté d'un an au moins et de trois ans au plus afin de tenir compte de façon appropriée de la faute de l'auteur.</w:t>
      </w:r>
    </w:p>
    <w:p>
      <w:r>
        <w:t>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134 IV 1 consid. 5.3.1 p. 10).</w:t>
      </w:r>
    </w:p>
    <w:p>
      <w:r>
        <w:t>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t>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t>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 ATF 142 IV 49 consid. 2.1.3 p. 53).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rPr>
          <w:b/>
        </w:rPr>
        <w:t>E. 1.2</w:t>
      </w:r>
    </w:p>
    <w:p>
      <w:r>
        <w:t>Il ressort du jugement attaqué que les experts ont qualifié de minime le risque de récidive et ont préconisé une prise en charge psychothérapeutique (jugement attaqué, p. 8 consid. 1.2). Par ailleurs, ils ont relevé que le " sentiment de honte est réel, l'expertisé a pu expliquer en quoi ces actes étaient graves et inconcevables et la remise en question de soi a été profonde, ce qui laisse entrevoir un pronostic favorable " (expertise du 9 octobre 2012, p. 7). Enfin, en réponse à la question de savoir si l'expertisé était susceptible de commettre de nouvelles infractions, ils ont répondu que l'intéressé semblait avoir pris conscience de la gravité des actes commis et s'être remis en question, qu'il dévoilait une personnalité loyale, de sorte qu'il était à prévoir qu'il ne poursuivrait pas son parcours de délinquant, ses projets d'avenir visant plutôt une intégration professionnelle réussie, gage d'une réinsertion positive (expertise du 9 octobre 2012, p. 9 if. s.).</w:t>
      </w:r>
    </w:p>
    <w:p>
      <w:r>
        <w:rPr>
          <w:b/>
        </w:rPr>
        <w:t>E. 1.3</w:t>
      </w:r>
    </w:p>
    <w:p>
      <w:r>
        <w:t>La cour cantonale a considéré que le pronostic apparaissait encore mitigé, au motif que l'intéressé persistait à contester les infractions de contrainte sexuelle qui révèlent la partie la plus sombre de son activité délictueuse, qu'il montrait encore des comportements manipulateurs et présentait un discours centré sur lui-même et que le suivi psychiatrique n'avait commencé que récemment et sous la pression de la procédure.</w:t>
      </w:r>
    </w:p>
    <w:p>
      <w:r>
        <w:t>La cour cantonale s'est ainsi écartée de l'expertise pour poser son pronostic relatif au comportement futur du condamné, ce qu'elle n'a toutefois pas justifié par des motifs propres à en ébranler la crédibilité, comme l'exige la jurisprudence rappelée ci-dessus. Elle a en réalité substitué sa propre appréciation à celle de l'expert sans fournir de raisons satisfaisantes. Elle n'explique notamment pas ce qui l'amène à considérer que le recourant montre des comportements manipulateurs et présente un discours centré sur lui-même. Par ailleurs, le fait qu'il ne se soit soumis à un suivi psychiatrique que dans le contexte de la procédure ne suffit pas pour faire douter de l'efficacité de celui-ci. Enfin, l'argument tiré du fait qu'il continuerait à contester les infractions de contrainte sexuelle qui révèlent la partie la plus sombre de son activité délictueuse n'est plus pertinent puisque devant le Tribunal fédéral il ne remet pas en question la réalisation des infractions qui lui sont imputées.</w:t>
      </w:r>
    </w:p>
    <w:p>
      <w:r>
        <w:t>Dans ces circonstances, il y a lieu d'admettre que c'est de manière arbitraire que la cour cantonale s'est écartée de l'expertise, de sorte que le jugement attaqué viole le droit fédéral. Vu le temps écoulé depuis l'expertise, qui remonte à plus de 5 ans, un complément actualisé apparaît utile pour poser un pronostic.</w:t>
      </w:r>
    </w:p>
    <w:p>
      <w:r>
        <w:rPr>
          <w:b/>
        </w:rPr>
        <w:t>E. 2</w:t>
      </w:r>
    </w:p>
    <w:p>
      <w:r>
        <w:t>Le recours doit être admis, le jugement attaqué annulé et la cause renvoyée à la cour cantonale pour qu'elle statue à nouveau.</w:t>
      </w:r>
    </w:p>
    <w:p>
      <w:r>
        <w:t>Le recourant, qui obtient gain de cause, ne supportera pas de frais judiciaires et peut prétendre à des dépens à la charge du canton (art. 66 al. 1 et 68 al. 1 LTF).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