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714/2007 vom 22. Januar 2008</w:t>
      </w:r>
    </w:p>
    <w:p>
      <w:r>
        <w:t>Bundesgericht, 2008-01-22, FR</w:t>
      </w:r>
    </w:p>
    <w:p>
      <w:r>
        <w:rPr>
          <w:b/>
        </w:rPr>
        <w:t xml:space="preserve">Quelle: </w:t>
      </w:r>
      <w:r>
        <w:t>https://mcp.opencaselaw.ch/entscheid/bger_6B_714_2007</w:t>
      </w:r>
    </w:p>
    <w:p>
      <w:r>
        <w:t>FR: TF 6B 714/2007 du 22 janvier 2008</w:t>
      </w:r>
    </w:p>
    <w:p>
      <w:r>
        <w:t>IT: TF 6B 714/2007 del 22 gennaio 2008</w:t>
      </w:r>
    </w:p>
    <w:p>
      <w:pPr>
        <w:pStyle w:val="Heading2"/>
      </w:pPr>
      <w:r>
        <w:t>Regeste</w:t>
      </w:r>
    </w:p>
    <w:p>
      <w:r>
        <w:t>Sursis partiel à l'exécution de la peine (art. 43 CP) | Droit pénal (en général)</w:t>
      </w:r>
    </w:p>
    <w:p>
      <w:pPr>
        <w:pStyle w:val="Heading2"/>
      </w:pPr>
      <w:r>
        <w:t>Erwägungen</w:t>
      </w:r>
    </w:p>
    <w:p>
      <w:r>
        <w:rPr>
          <w:b/>
        </w:rPr>
        <w:t>E. 1</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2</w:t>
      </w:r>
    </w:p>
    <w:p>
      <w:r>
        <w:t>Le recours peut être interjeté pour violation du droit, tel qu'il est délimité par les art. 95 et 96 LTF . Le Tribunal fédéral applique d'office le droit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3</w:t>
      </w:r>
    </w:p>
    <w:p>
      <w:r>
        <w:t>Le recourant soutient que faute d'avoir fixé à 6 mois la partie de la peine qu'il sera appelé à exécuter, les juges cantonaux ont fait une fausse application du droit fédéral. En revanche, il ne remet plus en cause les faits retenus par les instances cantonales qu'il a toujours niés, ni, partant, le principe de sa condamnation et la quotité de la peine privative de liberté de trois ans qui lui a été infligée.</w:t>
      </w:r>
    </w:p>
    <w:p>
      <w:r>
        <w:rPr>
          <w:b/>
        </w:rPr>
        <w:t>E. 3.1</w:t>
      </w:r>
    </w:p>
    <w:p>
      <w:r>
        <w:t>Aux termes du nouvel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Pour les peines privatives de liberté d'une durée de deux à trois ans, le caractère obligatoirement partiel du sursis est une restriction que le législateur a apportée, compte tenu de la culpabilité de l'auteur, au sursis intégral que le Conseil fédéral voulait permettre pour les peines privatives de liberté jusqu'à trois ans. Si le pronostic n'est pas défavorable - au besoin compte tenu de l'effet d'avertissement produit par l'exécution d'une partie de la peine - et si aucun empêchement prévu à l' art. 42 al. 2 CP ne s'y oppose, le sursis partiel doit être accordé.</w:t>
      </w:r>
    </w:p>
    <w:p>
      <w:r>
        <w:rPr>
          <w:b/>
        </w:rPr>
        <w:t>E. 3.2</w:t>
      </w:r>
    </w:p>
    <w:p>
      <w:r>
        <w:t>D'après l' art. 43 al. 2 et 3 CP ,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S. du 12.11.2007, consid. 5.6 prévu pour la publication aux ATF 133 IV xxx, 6B_103/2007).</w:t>
      </w:r>
    </w:p>
    <w:p>
      <w:r>
        <w:rPr>
          <w:b/>
        </w:rPr>
        <w:t>E. 3.3</w:t>
      </w:r>
    </w:p>
    <w:p>
      <w:r>
        <w:t>La cour cantonale a motivé sa décision sur ce point de manière pour le moins concise en ne mentionnant que la prise en compte de façon appropriée de la faute, ce qui correspond à l'énoncé du texte légal. Une telle motivation s'avère insuffisante. Reste qu'il ressort des considérants des premiers juges qu'ils ont estimé que la culpabilité du recourant était lourde, et qu'il avait porté gravement atteinte à l'intégrité sexuelle de son propre enfant encore en bas âge. Ils ont aussi retenu qu'il avait fait preuve d'une totale absence de scrupules pour assouvir ses instincts. Au regard d'un pronostic retenu comme n'étant pas défavorable, la répartition par moitié de la peine ferme et de la peine avec sursis demeure dans le cadre du pouvoir d'appréciation reconnu au premier juge et n'apparaît par conséquent pas critiquable vu notamment le caractère lourdement blâmable des faits à lui imputer. Dans ces conditions, il ne se justifie pas d'annuler le jugement dans le seul but d'obtenir de la juridiction cantonale un considérant amélioré ou complété dès lors que la décision, dans son résultat, apparaît conforme au droit ( ATF 127 IV 105 consid. 2c et les réf.).</w:t>
      </w:r>
    </w:p>
    <w:p>
      <w:r>
        <w:rPr>
          <w:b/>
        </w:rPr>
        <w:t>E. 4</w:t>
      </w:r>
    </w:p>
    <w:p>
      <w:r>
        <w:t>Il résulte de ce qui précède que le recours doit être rejeté. Comme ses conclusions étaient d'emblée vouées à l'échec, le recourant doit être débouté de sa demande d'assistance judiciaire ( art. 64 al. 1 et 2 LTF a contrario)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