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6B_712/2019 vom 11. Juli 2019</w:t>
      </w:r>
    </w:p>
    <w:p>
      <w:r>
        <w:t>Bundesgericht, 2019-07-11, FR</w:t>
      </w:r>
    </w:p>
    <w:p>
      <w:r>
        <w:rPr>
          <w:b/>
        </w:rPr>
        <w:t xml:space="preserve">Quelle: </w:t>
      </w:r>
      <w:r>
        <w:t>https://mcp.opencaselaw.ch/entscheid/bger_6B_712_2019</w:t>
      </w:r>
    </w:p>
    <w:p>
      <w:r>
        <w:t>FR: TF 6B_712/2019 du 11 juillet 2019</w:t>
      </w:r>
    </w:p>
    <w:p>
      <w:r>
        <w:t>IT: TF 6B_712/2019 del 11 luglio 2019</w:t>
      </w:r>
    </w:p>
    <w:p>
      <w:pPr>
        <w:pStyle w:val="Heading2"/>
      </w:pPr>
      <w:r>
        <w:t>Erwägungen</w:t>
      </w:r>
    </w:p>
    <w:p>
      <w:r>
        <w:rPr>
          <w:b/>
        </w:rPr>
        <w:t>E. 1</w:t>
      </w:r>
    </w:p>
    <w:p>
      <w:r>
        <w:t>Par arrêt du 9 mai 2019, la Chambre pénale de recours de la Cour de justice de la République et canton de Genève a rejeté, dans la mesure de sa recevabilité, le recours formé par X.________ contre l'ordonnance de non-entrée en matière rendue le 12 février 2019 par le Ministère public genevois à la suite de la plainte déposée par la prénommée contre inconnu pour lésions corporelles graves, violation de domicile et accès indu à un système informatique.</w:t>
      </w:r>
    </w:p>
    <w:p>
      <w:r>
        <w:t>X.________ forme un recours en matière pénale au Tribunal fédéral contre l'arrêt précité. Elle conclut, avec suite de frais et dépens, à l'annulation de la décision et au renvoi de la cause au ministère public pour ouverture d'une instruction préliminaire. Elle requiert, par ailleurs,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substance, la recourante se plaint de différents maux qui lui auraient été causés par des émanations toxiques provenant de tuyaux ouverts à l'étage de son appartement. En outre, un inconnu se serait introduit dans son appartement durant son sommeil ou son absence. Enfin, elle aurait subi divers problèmes informatiques et des intrusions dans son système informatique. La recourante ne consacre aucun développement à un éventuel tort moral ou dommage, ni sur leur principe ni sur leur quotité. La nature de l'affaire ne permet pas de comprendre précisément ce qui fonderait sa qualité pour recourir en matière pénale au Tribunal fédéral. L'absence d'explication sur la question des prétentions civiles exclut donc la qualité pour recourir de la recourante sur le fond de la cause.</w:t>
      </w:r>
    </w:p>
    <w:p>
      <w:r>
        <w:rPr>
          <w:b/>
        </w:rPr>
        <w:t>E. 2.2</w:t>
      </w:r>
    </w:p>
    <w:p>
      <w:r>
        <w:t>L'hypothèse visée à l'art. 81 al. 1 let. b ch. 6 LTF n'entre pas en considération, la recourante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w:t>
      </w:r>
    </w:p>
    <w:p>
      <w:r>
        <w:t>Sur le vu de ce qui précède, le recours doit être déclaré irrecevable selon la procédure simplifiée prévue par l' art. 108 al. 1 let. a et b LTF . Il était d'emblée dénué de chance de succès. L'assistance judiciaire doit être refusée pour ce motif ( art. 64 al. 1 LTF ). En outre, la recourante, à qui un délai avait été fixé au 2 juillet 2019 afin d'établir son indigence à la suite de sa demande d'assistance judiciaire, s'est déterminée par courrier du 10 juillet 2019, soit tardivement. Il ne sera pas tenu compte de celui-ci, ni des pièces qui l'accompagnent. Par conséquent, la recourante, qui succombe, supporte les frais judiciaires (art. 65 al. 2 et 66 al. 1 LTF). Il sera tenu compte, dans ce contexte, du fait que l'indigence n'a pas été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