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6B_712/2015 vom 15. Juli 2015</w:t>
      </w:r>
    </w:p>
    <w:p>
      <w:r>
        <w:t>Bundesgericht, 2015-07-15, DE</w:t>
      </w:r>
    </w:p>
    <w:p>
      <w:r>
        <w:rPr>
          <w:b/>
        </w:rPr>
        <w:t xml:space="preserve">Quelle: </w:t>
      </w:r>
      <w:r>
        <w:t>https://mcp.opencaselaw.ch/entscheid/bger_6B_712_2015</w:t>
      </w:r>
    </w:p>
    <w:p>
      <w:r>
        <w:t>FR: TF 6B_712/2015 du 15 juillet 2015</w:t>
      </w:r>
    </w:p>
    <w:p>
      <w:r>
        <w:t>IT: TF 6B_712/2015 del 15 luglio 2015</w:t>
      </w:r>
    </w:p>
    <w:p>
      <w:pPr>
        <w:pStyle w:val="Heading2"/>
      </w:pPr>
      <w:r>
        <w:t>Erwägungen</w:t>
      </w:r>
    </w:p>
    <w:p>
      <w:r>
        <w:rPr>
          <w:b/>
        </w:rPr>
        <w:t>E. 1</w:t>
      </w:r>
    </w:p>
    <w:p>
      <w:r>
        <w:t>Obwohl gemäss ausdrücklicher Rechtsmittelbelehrung des angefochtenen Entscheids eine Beschwerde ans Bundesgericht innert 30 Tagen eingereicht sein muss, wendet sich der Beschwerdeführer unmittelbar vor Ablauf der Frist ans Bundesgericht und ersucht um eine Fristverlängerung von 30 Tagen. Die Frist von Art. 100 BGG ist indessen eine gesetzliche, die nicht erstreckt werden kann ( Art. 47 Abs. 1 BGG ). Folglich muss das Gesuch um Fristerstreckung abgewiesen werden. Da die Eingabe des Beschwerdeführers im Übrigen keinen Antrag und keine Begründung enthält, genügt sie den Anforderungen von Art. 42 Abs. 2 bzw. Art. 106 Abs. 2 BGG nicht. Folglich ist darauf im Verfahren nach Art. 108 BGG nicht einzutreten.</w:t>
      </w:r>
    </w:p>
    <w:p>
      <w:r>
        <w:rPr>
          <w:b/>
        </w:rPr>
        <w:t>E. 2</w:t>
      </w:r>
    </w:p>
    <w:p>
      <w:r>
        <w:t>Die Gerichtskosten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