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711/2022 vom 8. Februar 2023</w:t>
      </w:r>
    </w:p>
    <w:p>
      <w:r>
        <w:t>Bundesgericht, 2023-02-08, FR</w:t>
      </w:r>
    </w:p>
    <w:p>
      <w:r>
        <w:rPr>
          <w:b/>
        </w:rPr>
        <w:t xml:space="preserve">Quelle: </w:t>
      </w:r>
      <w:r>
        <w:t>https://mcp.opencaselaw.ch/entscheid/bger_6B_711_2022</w:t>
      </w:r>
    </w:p>
    <w:p>
      <w:r>
        <w:t>FR: TF 6B 711/2022 du 8 février 2023</w:t>
      </w:r>
    </w:p>
    <w:p>
      <w:r>
        <w:t>IT: TF 6B 711/2022 del 8 febbraio 2023</w:t>
      </w:r>
    </w:p>
    <w:p>
      <w:pPr>
        <w:pStyle w:val="Heading2"/>
      </w:pPr>
      <w:r>
        <w:t>Regeste</w:t>
      </w:r>
    </w:p>
    <w:p>
      <w:r>
        <w:t>Ordonnance de classement (abus de confiance, gestion déloyale)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 6B_1313/2021 du 8 août 2022 consid. 2.1).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La recourante expose qu'elle a subi, en raison des quatre prélèvements opérés sans droit, un dommage direct à son patrimoine, celui-ci ayant diminué d'un montant de 32'000 fr.; elle ajoute que le classement de la procédure aboutit notamment à l'absence de réparation du dommage, lequel doit être réparé à tout le moins à hauteur du montant indûment prélevé. Elle montre ainsi qu'elle satisfait aux exigences de l'art. 81 al. 1 let. a et b ch. 5 LTF.</w:t>
      </w:r>
    </w:p>
    <w:p>
      <w:r>
        <w:rPr>
          <w:b/>
        </w:rPr>
        <w:t>E. 2</w:t>
      </w:r>
    </w:p>
    <w:p>
      <w:r>
        <w:t>La recourante soutient que c'est à tort que la cour cantonale a considéré que l'élément constitutif subjectif de l'infraction de gestion déloyale n'est manifestement pas réalisé.</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Le Tribunal fédéral n'entre en matière sur les moyens fondés sur la violation de droits fondamentaux, dont l'interdiction de l'arbitraire, que s'ils ont été invoqués et motivés de manière précise ( art. 106 al. 2 LTF ; ATF 146 IV 88 consid. 1.3.1 p. 92).</w:t>
      </w:r>
    </w:p>
    <w:p>
      <w:r>
        <w:rPr>
          <w:b/>
        </w:rPr>
        <w:t>E. 2.2</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L'infraction de gestion déloyale requiert l'intention, qui doit porter sur tous les éléments constitutifs, notamment le fait que les actes causent un dommage. Le dol éventuel suffit, mais celui-ci doit être nettement et strictement caractérisé vu l'imprécision des éléments constitutifs objectifs de cette infraction ( ATF 142 IV 346 consid. 3.2; arrêt 6B_279/2021 du 20 octobre 2021 consid. 1.2).</w:t>
      </w:r>
    </w:p>
    <w:p>
      <w:r>
        <w:rPr>
          <w:b/>
        </w:rPr>
        <w:t>E. 2.3</w:t>
      </w:r>
    </w:p>
    <w:p>
      <w:r>
        <w:t>La cour cantonale a relevé que l'intimé n'avait jamais cherché à dissimuler les prélèvements effectués et qu'il était crédible quand il déclarait avoir pensé qu'un bénéfice pourrait être réalisé et que sa créance était compensable avec ses droits d'associé. La recourante soutient que l'intimé ne pouvait raisonnablement penser à une éventuelle part au bénéfice et avait dès lors parfaitement conscience que son comportement causerait un dommage patrimonial à la société. C'est à juste titre que la cour cantonale a relevé en premier lieu que l'intimé n'avait jamais cherché à dissimuler ses prélèvements. Elle pouvait sans s'exposer au grief d'arbitraire y voir une preuve qu'il avait l'intention de les compenser avec des droits futurs, au salaire ou à sa part de bénéfice, qu'il aurait envers la recourante. Par ailleurs, il ressort de l'ordonnance attaquée que, contrairement à ce que soutient la recourante, l'intimé était légitimé à penser qu'un bénéfice serait réalisé, compte tenu du fait que le restaurant avait immédiatement bien fonctionné, au point de faire deux services à midi et souvent trois le soir tout en refusant du monde. La recourante, qui relève que le montant prélevé correspond presque à l'apport personnel de l'intimé dans la société, allègue que celui-ci ne pouvait pas raisonnablement penser être en droit de s'attribuer unilatéralement un tel montant. Elle ne montre toutefois pas, par une argumentation satisfaisant aux exigences de l' art. 106 al. 2 LTF , que les éléments de fait retenus par la cour cantonale seraient insoutenables. Dans ces circonstances, c'est sans violer le droit fédéral et le principe "in dubio pro duriore" que la cour cantonale a confirmé que l'élément subjectif de la gestion déloyale n'était pas réalisé. Il n'y a pas lieu d'examiner les autres faits et préventions dès lors que la recourante a expressément limité son recours à l'infraction de gestion déloyale. Mal fondé, le recours doit être rejeté.</w:t>
      </w:r>
    </w:p>
    <w:p>
      <w:r>
        <w:rPr>
          <w:b/>
        </w:rPr>
        <w:t>E. 3</w:t>
      </w:r>
    </w:p>
    <w:p>
      <w:r>
        <w:t>Vu l'issue de la procédure, la recourante,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