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6B_711/2018 vom 21. August 2018</w:t>
      </w:r>
    </w:p>
    <w:p>
      <w:r>
        <w:t>Bundesgericht, 2018-08-21, DE</w:t>
      </w:r>
    </w:p>
    <w:p>
      <w:r>
        <w:rPr>
          <w:b/>
        </w:rPr>
        <w:t xml:space="preserve">Quelle: </w:t>
      </w:r>
      <w:r>
        <w:t>https://mcp.opencaselaw.ch/entscheid/bger_6B_711_2018</w:t>
      </w:r>
    </w:p>
    <w:p>
      <w:r>
        <w:t>FR: TF 6B_711/2018 du 21 août 2018</w:t>
      </w:r>
    </w:p>
    <w:p>
      <w:r>
        <w:t>IT: TF 6B_711/2018 del 21 agosto 2018</w:t>
      </w:r>
    </w:p>
    <w:p>
      <w:pPr>
        <w:pStyle w:val="Heading2"/>
      </w:pPr>
      <w:r>
        <w:t>Erwägungen</w:t>
      </w:r>
    </w:p>
    <w:p>
      <w:r>
        <w:rPr>
          <w:b/>
        </w:rPr>
        <w:t>E. 1</w:t>
      </w:r>
    </w:p>
    <w:p>
      <w:r>
        <w:t>Die Regionale Staatsanwaltschaft Bern-Mittelland nahm am 24. Mai 2018 das vom Beschwerdeführer angestrebte Verfahren u.a. wegen gestohlenen arabischen Volksgeldern nicht an die Hand. Auf eine dagegen gerichtete Beschwerde trat das Obergericht des Kantons Bern mit Beschluss vom 22. Juni 2018 nicht ein.</w:t>
      </w:r>
    </w:p>
    <w:p>
      <w:r>
        <w:t>Der Beschwerdeführer wendet sich an das Bundesgericht.</w:t>
      </w:r>
    </w:p>
    <w:p>
      <w:r>
        <w:rPr>
          <w:b/>
        </w:rPr>
        <w:t>E. 2</w:t>
      </w:r>
    </w:p>
    <w:p>
      <w:r>
        <w:t>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Der Beschwerdeführer zeigt nicht auf, inwiefern sich der abschliessende Beschluss des Obergerichts über die Nichtanhandnahme des Strafverfahrens auf mögliche Zivilansprüche auswirken könnte, und das ist auch nicht ohne weiteres ersichtlich. Es ist daher fraglich, ob unter dem Gesichtswinkel der Legitimation auf die Beschwerde eingetreten werden kann. Die Frage kann indessen offenbleiben, weil sich die Beschwerde so oder anders als unbehelflich erweist.</w:t>
      </w:r>
    </w:p>
    <w:p>
      <w:r>
        <w:rPr>
          <w:b/>
        </w:rPr>
        <w:t>E. 3</w:t>
      </w:r>
    </w:p>
    <w:p>
      <w:r>
        <w:t>In einer Beschwerde an das Bundesgericht ist unter Bezugnahme auf den angefochtenen Entscheid in gedrängter Form darzulegen, inwieweit dieser nach Auffassung des Beschwerdeführers gegen das Recht verstossen soll ( Art. 42 Abs. 2 BGG ).</w:t>
      </w:r>
    </w:p>
    <w:p>
      <w:r>
        <w:rPr>
          <w:b/>
        </w:rPr>
        <w:t>E. 4</w:t>
      </w:r>
    </w:p>
    <w:p>
      <w:r>
        <w:t>Diese Begründungsanforderungen erfüllt die Beschwerde nicht. Vor Bundesgericht kann es einzig um die Frage gehen, ob das Obergericht zu Unrecht auf die Beschwerde nicht eingetreten ist. Dazu äussert sich der Beschwerdeführer indessen mit keinem Wort. Dass und inwiefern das Obergericht mit seinem Nichteintretensbeschluss gegen das Recht im Sinne von Art. 95 BGG verstossen haben könnte, lässt sich der Beschwerde mithin nicht entnehmen. Darauf ist mangels einer tauglichen Begründung im Verfahren nach Art. 108 BGG nicht einzutreten.</w:t>
      </w:r>
    </w:p>
    <w:p>
      <w:r>
        <w:rPr>
          <w:b/>
        </w:rPr>
        <w:t>E. 5</w:t>
      </w:r>
    </w:p>
    <w:p>
      <w:r>
        <w:t>Auf eine Kostenauflage kann ausnahmsweise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