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710/2019 vom 17. Juni 2019</w:t>
      </w:r>
    </w:p>
    <w:p>
      <w:r>
        <w:t>Bundesgericht, 2019-06-17, FR</w:t>
      </w:r>
    </w:p>
    <w:p>
      <w:r>
        <w:rPr>
          <w:b/>
        </w:rPr>
        <w:t xml:space="preserve">Quelle: </w:t>
      </w:r>
      <w:r>
        <w:t>https://mcp.opencaselaw.ch/entscheid/bger_6B_710_2019</w:t>
      </w:r>
    </w:p>
    <w:p>
      <w:r>
        <w:t>FR: TF 6B 710/2019 du 17 juin 2019</w:t>
      </w:r>
    </w:p>
    <w:p>
      <w:r>
        <w:t>IT: TF 6B 710/2019 del 17 giugno 2019</w:t>
      </w:r>
    </w:p>
    <w:p>
      <w:pPr>
        <w:pStyle w:val="Heading2"/>
      </w:pPr>
      <w:r>
        <w:t>Regeste</w:t>
      </w:r>
    </w:p>
    <w:p>
      <w:r>
        <w:t>Recours tardif | Droit pénal (en général)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contre une décision doit être déposé devant le Tribunal fédéral dans les trente jours qui suivent sa notification ( art. 100 al. 1 LTF ). Les délais dont le début dépend d'une communication ou de la survenance d'un événement courent dès le lendemain de celles-ci ( art. 44 al. 1 LTF ). Le délai est observé si le mémoire est remis à la poste Suisse le dernier jour du délai ( art. 48 al. 1 LTF ). En l'espèce, la décision cantonale a été notifiée le 16 avril 2019. Le délai a couru du 29 avril (cf. art. 46 al. 1 let. a LTF ) au 28 mai 2019. Daté du 7 juin 2019, le recours est tardif. L'irrecevabilité est manifeste, ce qu'il convient de constater en application de l' art. 108 al. 1 let. a LTF .</w:t>
      </w:r>
    </w:p>
    <w:p>
      <w:r>
        <w:rPr>
          <w:b/>
        </w:rPr>
        <w:t>E. 2</w:t>
      </w:r>
    </w:p>
    <w:p>
      <w:r>
        <w:t>Le recourant succombe. Il supporte les frais de la procédure, fixés en tenant compte de sa situation financière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