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6B_710/2014 vom 23. November 2015</w:t>
      </w:r>
    </w:p>
    <w:p>
      <w:r>
        <w:t>Bundesgericht, 2015-11-23, FR</w:t>
      </w:r>
    </w:p>
    <w:p>
      <w:r>
        <w:rPr>
          <w:b/>
        </w:rPr>
        <w:t xml:space="preserve">Quelle: </w:t>
      </w:r>
      <w:r>
        <w:t>https://mcp.opencaselaw.ch/entscheid/bger_6B_710_2014</w:t>
      </w:r>
    </w:p>
    <w:p>
      <w:r>
        <w:t>FR: TF 6B_710/2014 du 23 novembre 2015</w:t>
      </w:r>
    </w:p>
    <w:p>
      <w:r>
        <w:t>IT: TF 6B_710/2014 del 23 novembre 2015</w:t>
      </w:r>
    </w:p>
    <w:p>
      <w:pPr>
        <w:pStyle w:val="Heading2"/>
      </w:pPr>
      <w:r>
        <w:t>Erwägungen</w:t>
      </w:r>
    </w:p>
    <w:p>
      <w:r>
        <w:rPr>
          <w:b/>
        </w:rPr>
        <w:t>E. 1.1</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139 I 306 consid. 1.2 p. 308 s. et l'arrêt cité).</w:t>
      </w:r>
    </w:p>
    <w:p>
      <w:r>
        <w:rPr>
          <w:b/>
        </w:rPr>
        <w:t>E. 1.2</w:t>
      </w:r>
    </w:p>
    <w:p>
      <w:r>
        <w:t>Conformément à l' art. 54 al. 1 LTF , le présent arrêt sera rendu en français, langue de la décision attaquée, même si le recours a été libellé en allemand, comme l'autorise l' art. 42 al. 1 LTF .</w:t>
      </w:r>
    </w:p>
    <w:p>
      <w:r>
        <w:rPr>
          <w:b/>
        </w:rPr>
        <w:t>E. 2</w:t>
      </w:r>
    </w:p>
    <w:p>
      <w:r>
        <w:t>Le recourant reproche à la cour cantonale d'avoir violé les art. 131 et 147 CPP . Il allègue que sa condamnation repose de manière déterminante sur les déclarations de B.________, A.________ et C.________, déclarations recueillies lors d'auditions auxquelles ni lui ni son conseil n'ont assisté.</w:t>
      </w:r>
    </w:p>
    <w:p>
      <w:r>
        <w:rPr>
          <w:b/>
        </w:rPr>
        <w:t>E. 2.1</w:t>
      </w:r>
    </w:p>
    <w:p>
      <w:r>
        <w:t>Aux termes de l' art. 131 CPP ,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oeuvre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t>Dans son arrêt du 17 février 2014, le Tribunal fédéral a jugé que le recourant remplissait les conditions d'une défense obligatoire au sens de l' art. 130 let. b CPP , de sorte qu'en application de l' art. 131 al. 1 et 2 CPP il appartenait au ministère public de pourvoir à ce qu'il soit assisté d'un défenseur à tout le moins au moment de rendre l'ordonnance d'ouverture d'instruction. C'est la raison pour laquelle il a été admis que l'audition du recourant du 19 décembre 2011 était inexploitable, l'autorité de jugement devant écarter ces déclarations et ne pas les utiliser comme moyen de preuve pour le condamner.</w:t>
      </w:r>
    </w:p>
    <w:p>
      <w:r>
        <w:rPr>
          <w:b/>
        </w:rPr>
        <w:t>E. 2.2</w:t>
      </w:r>
    </w:p>
    <w:p>
      <w:r>
        <w:t>Conformément à l' art. 147 al. 1 CPP , les parties ont le droit d'assister à l'administration des preuves par le ministère public et les tribunaux et de poser des questions aux comparants.</w:t>
      </w:r>
    </w:p>
    <w:p>
      <w:r>
        <w:t>La partie ou son conseil juridique peut renoncer à participer à l'administration d'une preuve. La preuve qui n'a pas été administrée en présence de la partie ou de son conseil juridique pourra être utilisée à son encontre lorsqu'aucune requête tendant à une confrontation n'a été déposée en temps utile ( OLIVIER THORMANN, in Commentaire romand, Code de procédure pénale suisse, n° 14 s. ad art. 147 CPP ). Le prévenu doit requérir la confrontation et son silence à cet égard permet d'en inférer qu'il y a renoncé (voir arrêt 6B_1080/2013 du 22 octobre 2014 consid. 2.2 et la référence citée).</w:t>
      </w:r>
    </w:p>
    <w:p>
      <w:r>
        <w:t>Il ne ressort pas du jugement attaqué que le recourant aurait à un quelconque moment de la procédure requis une confrontation avec C.________. Lui-même ne prétend au demeurant pas que tel serait le cas. Dans ces circonstances, il y a lieu d'admettre qu'il a renoncé à une telle confrontation, ce qui rend exploitables les auditions en question (voir DORRIT SCHLEIMINGER METTLER, in Basler Kommentar, Schweizerische Strafprozessordnung, 2e éd., 2014, n° 11 ad art. 147 CPP ). La violation, constatée dans l'arrêt du Tribunal fédéral du 17 février 2014, de l' art. 131 CPP n'y change rien puisque même après qu'un défenseur lui a été désigné ni ce dernier ni le recourant n'a requis de confrontation alors qu'ils auraient largement eu la possibilité de le faire au cours de la suite de la procédure.</w:t>
      </w:r>
    </w:p>
    <w:p>
      <w:r>
        <w:t>Pour le surplus, le recourant, accompagné de son avocat qui a d'ailleurs posé des questions aux deux intéressés, a assisté aux interrogatoires de ses coprévenus B.________ et A.________ lors des débats de première instance (cf. p.-v. d'audition du 24 août 2012, dossier cantonal p. 1359 s. respectivement 1355 ss ). Il a donc bénéficié d'une confrontation. Son mémoire ne contient aucun développement expliquant en quoi cette confrontation consacrerait des divergences avec les auditions initiales devant la police et sur quels points celles-ci seraient par conséquent inexploitables. L'argumentation qu'il présente est insuffisante au regard des exigences minimales de motivation posées par l'art. 42 al. 2 respectivement 106 al. 2 LTF. En particulier, B.________ a confirmé lors des débats les déclarations faites à la police (cf. dossier cantonal p. 1359). La cour cantonale s'est largement fondée sur ces dernières déclarations (cf. jugement attaqué p. 9 et 10). Les déclarations en question avaient déjà été évoquées dans le jugement de la cour cantonale du 8 juillet 2013 (dossier cantonal, pièce 1480 p. 9 s.). Le recourant ne pouvait ainsi en ignorer la portée. A défaut de toute explication du recourant dans son mémoire de recours, on ne voit pas pourquoi de telles déclarations n'auraient pas été exploitables à la suite des débats de première instance. Le grief doit être rejeté dans la mesure où il est recevable.</w:t>
      </w:r>
    </w:p>
    <w:p>
      <w:r>
        <w:rPr>
          <w:b/>
        </w:rPr>
        <w:t>E. 3</w:t>
      </w:r>
    </w:p>
    <w:p>
      <w:r>
        <w:t>Mal fondé, le recours doit être rejeté dans la mesure où il est recevable. Il n'apparaissait toutefois pas d'emblée voué à l'échec. Il convient dès lors de mettre le recourant au bénéfice de l'assistance judiciaire, sa situation économique le justifiant ( art. 64 al. 1 LTF ), de désigner Me Eric Stern comme avocat d'office et d'allouer à celui-ci une indemnité à titre d'honoraires, qui sera supportée par la caisse du Tribunal fédéral ( art. 64 al. 2 LTF ). Il est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