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6B_709/2021 vom 12. Mai 2022</w:t>
      </w:r>
    </w:p>
    <w:p>
      <w:r>
        <w:t>Bundesgericht, 2022-05-12, DE</w:t>
      </w:r>
    </w:p>
    <w:p>
      <w:r>
        <w:rPr>
          <w:b/>
        </w:rPr>
        <w:t xml:space="preserve">Quelle: </w:t>
      </w:r>
      <w:r>
        <w:t>https://mcp.opencaselaw.ch/entscheid/bger_6B_709_2021</w:t>
      </w:r>
    </w:p>
    <w:p>
      <w:r>
        <w:t>FR: TF 6B_709/2021 du 12 mai 2022</w:t>
      </w:r>
    </w:p>
    <w:p>
      <w:r>
        <w:t>IT: TF 6B_709/2021 del 12 maggio 2022</w:t>
      </w:r>
    </w:p>
    <w:p>
      <w:pPr>
        <w:pStyle w:val="Heading2"/>
      </w:pPr>
      <w:r>
        <w:t>Erwägungen</w:t>
      </w:r>
    </w:p>
    <w:p>
      <w:r>
        <w:rPr>
          <w:b/>
        </w:rPr>
        <w:t>E. 1.1</w:t>
      </w:r>
    </w:p>
    <w:p>
      <w:r>
        <w:t>Der Beschwerdeführer rügt eine Verletzung des Anklageprinzips. Er beanstandet, die Anklage äussere sich nicht dazu, welcher Art der Irrtum im Einzelfall gewesen sei, welche Person von welchem konkreten Sachverhalt ausgegangen sei bzw. aus welchen Gliedern die "Irrtumsvermittlungskette" bestanden habe. In zweiter Instanz seien noch 18 Anklagesachverhalte zu würdigen gewesen. Eine Substanziierung der irrenden Personen, des Zustandekommens ihres Irrtums bzw. einer allfälligen Irrtumsvermittlungskette sei daher möglich, zumal die Untersuchung rund drei Jahre und fünf Monate gedauert habe. Auch die Umschreibung der Gewerbsmässigkeit sei ungenügend, da seitens der Staatsanwaltschaft weder substanziiert werde, wie hoch sein Lebensunterhalt gewesen sei, noch welchen Anteil davon er angeblich mit der deliktischen Tätigkeit habe finanzieren wollen.</w:t>
      </w:r>
    </w:p>
    <w:p>
      <w:r>
        <w:rPr>
          <w:b/>
        </w:rPr>
        <w:t>E. 1.2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aus der Anklage ersehen können, wessen sie angeklagt ist. Sie darf nicht Gefahr laufen, erst an der Gerichtsverhandlung mit neuen Anschuldigungen konfrontiert zu werden ( BGE 143 IV 63 E. 2.2 mit Hinweisen).</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6B_1404/2020 vom 17. Januar 2022 E. 1.3; 6B_760/2021 vom 8. Oktober 2021 E. 1.1; 6B_63/2020 vom 10. März 2021 E. 2.2; je mit Hinweisen).</w:t>
      </w:r>
    </w:p>
    <w:p>
      <w:r>
        <w:rPr>
          <w:b/>
        </w:rPr>
        <w:t>E. 1.3.1</w:t>
      </w:r>
    </w:p>
    <w:p>
      <w:r>
        <w:t>Die Kritik des Beschwerdeführers ist unbegründet. Die Staatsanwaltschaft legt das Vorgehen des Beschwerdeführers in der Anklageschrift zunächst in allgemeiner Weise dar, wobei sie insbesondere dessen Täuschungshandlungen und den Irrtum der Geschädigten schildert. Zusätzlich erörtert sie die dem Beschwerdeführer vorgeworfenen, absichtlich herbeigeführten 19 Auffahr- bzw. Streifkollisionen im Einzelnen unter Angabe von Datum, Zeit und Ort des Unfalls, des verwendeten Personenwagens, dessen Halters und Einlösdauer, der Geschädigten (involvierte Versicherungen, Fahrzeuglenker, allfällige Beifahrer und Fahrzeughalter bzw. -eigentümer), deren Vermögensdispositionen, des erlittenen Sachschadens, allfälliger Körperverletzungen sowie einer Umschreibung des Unfallhergangs. Aus der Anklage geht hervor, dass der Beschwerdeführer die Geschädigten über das angebliche Vorliegen von verkehrsbedingten Bremsmanövern täuschte und dass insbesondere die involvierten Motorfahrzeughaftpflichtversicherungen einem Irrtum unterlagen. Damit wusste der Beschwerdeführer, was ihm vorgeworfen wird, und er war in Lage, sich gegen die Vorwürfe ausreichend zu verteidigen. Zusätzliche Darstellungen dazu, wie bzw. durch welche Mitarbeiter der Motorfahrzeughaftpflichtversicherungen die Schadensabwicklung im Einzelnen ablief, waren nicht erforderlich. Der Beschwerdeführer zeigt zudem nicht ansatzweise auf, in welcher Hinsicht die Vorinstanz mit ihren Schuldsprüchen über den angeklagten Sachverhalt hinausgegangen sein könnte.</w:t>
      </w:r>
    </w:p>
    <w:p>
      <w:r>
        <w:rPr>
          <w:b/>
        </w:rPr>
        <w:t>E. 1.3.2</w:t>
      </w:r>
    </w:p>
    <w:p>
      <w:r>
        <w:t>Die Staatsanwaltschaft verlangte in der Anklage eine Bestrafung des Beschwerdeführers u.a. wegen gewerbsmässigen Betrugs. Die Höhe der von den Motorfahrzeughaftpflichtversicherern an den Beschwerdeführer geflossenen Zahlungen geht aus der Anklage hervor. Diese wirft dem Beschwerdeführer zudem vor, er habe in der Absicht gehandelt, bei jeder sich ihm bietenden Gelegenheit "Unfälle" in der Art der beschriebenen zu provozieren und sich auf diese Weise zumindest einen Teil seines Lebensunterhaltes zu finanzieren und sich so ein zusätzliches Einkommen zu verschaffen (Anklageschrift S. 5). Damit ist in der Anklage auch der Vorwurf der Gewerbsmässigkeit hinreichend umschreiben, zumal die rechtliche Würdigung dem Gericht vorbehalten ist (vgl. Art. 350 Abs. 1 StPO ). Nicht zwingend war, dass die Anklage anhand der legalen Einkommen des Beschwerdeführers rechnerische Überlegungen dazu anstellt, in welchem prozentualen Umfang die deliktischen Vermögensdispositionen der Motorfahrzeughaftpflichtversicherungen zum Lebensunterhalt des Beschwerdeführers beitrugen.</w:t>
      </w:r>
    </w:p>
    <w:p>
      <w:r>
        <w:t>Eine Verletzung des Anklageprinzips liegt nicht vor.</w:t>
      </w:r>
    </w:p>
    <w:p>
      <w:r>
        <w:rPr>
          <w:b/>
        </w:rPr>
        <w:t>E. 2.1</w:t>
      </w:r>
    </w:p>
    <w:p>
      <w:r>
        <w:t>Der Beschwerdeführer wendet sich gegen die rechtliche Würdigung als gewerbsmässiger Betrug. Er macht geltend, eine Bejahung der Arglist setze voraus, dass in der Anklage auch im Einzelnen dargetan werde, wer in welchem Dossier getäuscht worden sei und von welchem Sachverhalt der oder die Getäuschte ausgegangen sei. Ohne eine genügende Sachverhaltsumschreibung in der Anklage lasse sich auch die Frage der Arglist nicht auf ihre Bundesrechtskonformität überprüfen. Weiter moniert der Beschwerdeführer, die Vorinstanz begründe die Gewerbsmässigkeit damit, er habe berufsmässig gehandelt. Damit substituiere sie die von der Anklage nicht näher substanziierte Gewerbsmässigkeit durch den verwandten Begriff der Berufsmässigkeit. Die Behauptung, er habe innerhalb von weniger als zwei Jahren insgesamt zehn Auffahrunfälle provoziert und dafür knapp über Fr. 28'000.-- kassiert, finde in der Anklageschrift keine Stütze. Dem angefochtenen Urteil lasse sich nicht entnehmen, wie die Vorinstanz auf den Betrag von Fr. 28'000.-- gekommen sei. Die Zahl sei auch falsch. Sie sei jedenfalls nicht nachvollziehbar und damit willkürlich.</w:t>
      </w:r>
    </w:p>
    <w:p>
      <w:r>
        <w:rPr>
          <w:b/>
        </w:rPr>
        <w:t>E. 2.2.1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2.2.2</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Die Täuschung im Sinne von Art. 146 Abs. 1 StGB kann auch durch konkludentes Handeln erfolgen ( BGE 147 IV 73 E. 3.1; 140 IV 11 E. 2.3.2).</w:t>
      </w:r>
    </w:p>
    <w:p>
      <w:r>
        <w:rPr>
          <w:b/>
        </w:rPr>
        <w:t>E. 2.2.3</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 und 1.3.1; 142 IV 153 E. 2.2.2; 135 IV 76 E. 5.2 mit Hinweisen).</w:t>
      </w:r>
    </w:p>
    <w:p>
      <w:r>
        <w:rPr>
          <w:b/>
        </w:rPr>
        <w:t>E. 2.3</w:t>
      </w:r>
    </w:p>
    <w:p>
      <w:r>
        <w:t>Ob die getäuschte Person die Vermögensdisposition in einem Irrtum vornahm, betrifft eine Tatfrage ( BGE 134 III 643 E. 5.3.1; Urteil 5A_497/2020 vom 30. Juni 2021 E. 4.2).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Rechtsfrage ist demgegenüber, ob die Täuschung arglistig im Sinne von Art. 146 Abs. 1 StGB war (Urteile 6B_423/2021 vom 17. Februar 2022 E. 4.5; 6B_573/2020 vom 19. Juli 2021 E. 1.6).</w:t>
      </w:r>
    </w:p>
    <w:p>
      <w:r>
        <w:rPr>
          <w:b/>
        </w:rPr>
        <w:t>E. 2.4</w:t>
      </w:r>
    </w:p>
    <w:p>
      <w:r>
        <w:t>Die Anklage genügt wie dargelegt den gesetzlichen Anforderungen. Die Vorinstanz wirft dem Beschwerdeführer vor, er habe gegenüber den involvierten Verkehrsteilnehmern und deren Motorfahrzeughaftpflichtversicherungen wahrheitswidrig geltend gemacht, er sei durch vor ihm fahrende Fahrzeuge zu den Bremsmanövern gezwungen worden, welche folglich verkehrsbedingt gewesen seien. Sie geht davon aus, die zuständigen Sachbearbeiter der involvierten Motorfahrzeughaftpflichtversicherungen seien einem Irrtum unterlegen, da sie gestützt auf die Angaben des Beschwerdeführers und die Schadensanerkennung durch ihre Versicherungsnehmer davon ausgegangen seien, die Bremsmanöver seien tatsächlich verkehrsbedingt gewesen und die Verantwortung für die Auffahr- bzw. Streifkollisionen liege folglich bei ihren Versicherungsnehmern. Der Beschwerdeführer zeigt nicht ansatzweise auf, weshalb diese Feststellungen der Vorinstanz willkürlich sein könnten.</w:t>
      </w:r>
    </w:p>
    <w:p>
      <w:r>
        <w:rPr>
          <w:b/>
        </w:rPr>
        <w:t>E. 2.5</w:t>
      </w:r>
    </w:p>
    <w:p>
      <w:r>
        <w:t>Die Vorinstanz qualifiziert das Verhalten des Beschwerdeführers zutreffend als arglistig. Sie legt diesbezüglich insbesondere dar, die betroffenen Versicherungen hätten über keine Warnhinweise verfügt, dass die Auffahrunfälle fingiert sein könnten (angefochtenes Urteil E. 2.2.3 S. 128 f.). Tatsächlich war die Behauptung des Beschwerdeführers, seine Bremsmanöver seien verkehrsbedingt gewesen, für die Motorfahrzeughaftpflichtversicherungen nicht überprüfbar, zumal die Kollisionspartner des Beschwerdeführers gemäss dem angefochtenen Entscheid gegenüber den Versicherungen jeweils ihre Verantwortlichkeit anerkannten (vgl. angefochtenes Urteil S. 126). Zusätzlich erschwert wurde die Durchschaubarkeit der Lüge des Beschwerdeführers dadurch, dass dieser seine Fahrzeuge bewusst auf verschiedene Drittpersonen einlöste. Ein Verdacht gegenüber dem Beschwerdeführer kam letztlich erst angesichts der grossen Häufung von weitgehend identischen Auffahrunfällen auf, in welche der Beschwerdeführer innert weniger Monate ausschliesslich mit ihm gehörenden alten Fahrzeugen involviert war, welche er jeweils für sehr kurze Zeit einlöste, während er auf geschäftlichen Fahrten mit Fahrzeugen seiner Arbeitgeberin nie in Verkehrsunfälle verwickelt war (vgl. angefochtenes Urteil E. 20.3 S. 121). Die Vorinstanz geht davon aus, der Beschwerdeführer habe im relevanten Tatzeitraum über 19 verschiedene Fahrzeuge verfügt, welche er mehrheitlich für lediglich jeweils wenige Tage oder Wochen eingelöst habe. Der Beschwerdeführer bringt in seiner Beschwerde nichts vor, das geeignet sein könnte, die vorinstanzliche Würdigung des Tatbestandsmerkmals der Arglist in Zweifel zu ziehen.</w:t>
      </w:r>
    </w:p>
    <w:p>
      <w:r>
        <w:rPr>
          <w:b/>
        </w:rPr>
        <w:t>E. 2.6.1</w:t>
      </w:r>
    </w:p>
    <w:p>
      <w:r>
        <w:t>Gewerbsmässigkeit im Sinne von Art. 146 Abs.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Der Täter muss sich darauf eingerichtet haben, durch deliktische Handlungen Einkünfte zu erzielen, die einen namhaften Beitrag an die Kosten zur Finanzierung seiner Lebensgestaltung darstellen.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(zum Ganzen: BGE 147 IV 176 E. 2.2.1; 129 IV 253 E. 2.2, 188 E. 3.1.2; 119 IV 129 E. 3a; Urteile 6B_1033/2021 vom 12. Januar 2022 E. 2.1; 6B_793/2019 vom 12. September 2019 E. 1.2).</w:t>
      </w:r>
    </w:p>
    <w:p>
      <w:r>
        <w:rPr>
          <w:b/>
        </w:rPr>
        <w:t>E. 2.6.2</w:t>
      </w:r>
    </w:p>
    <w:p>
      <w:r>
        <w:t>Die Vorinstanz erwägt, der Beschwerdeführer habe in einem Zeitraum von weniger als zwei Jahren insgesamt zehn Auffahrunfälle provoziert und seitens der Haftpflichtversicherer bzw. Privatpersonen insgesamt knapp über Fr. 28'000.-- kassiert, was pro Monat einen Betrag von rund Fr. 1'200.-- ergebe. Er habe sich durch sein strafbares Verhalten von einiger Intensität ein regelmässiges Zusatzeinkommen verschafft, wobei er eine bestimmte Methode angewandt habe und planmässig vorgegangen sei. Er habe sich darauf eingerichtet, durch die von ihm provozierten Auffahrunfälle Einkünfte zu erzielen, die einen namhaften Beitrag an die Kosten zur Finanzierung seiner Lebensgestaltung dargestellt hätten. Damit habe er sein reguläres Einkommen von etwas mehr als Fr. 4'000.-- um deutlich mehr als 20 % aufbessern können. An dieser Einschätzung vermöge nichts zu ändern, dass an seinen Fahrzeugen gewisse Reparaturen vorzunehmen gewesen seien, weil davon auszugehen sei, dass er die meisten Reparaturen selbst ausgeführt habe, weshalb sein Gewinn nur unwesentlich tiefer ausgefallen sein dürfte (angefochtenes Urteil S. 131 f.).</w:t>
      </w:r>
    </w:p>
    <w:p>
      <w:r>
        <w:rPr>
          <w:b/>
        </w:rPr>
        <w:t>E. 2.6.3</w:t>
      </w:r>
    </w:p>
    <w:p>
      <w:r>
        <w:t>Damit ist auch die Gewerbsmässigkeit zu bejahen, da das Verhalten gemäss den verbindlichen Feststellungen der Vorinstanz über einen längeren Zeitraum darauf ausgerichtet war, durch die Provokation von Auffahr- bzw. Streifkollisionen im Strassenverkehr namhafte Beiträge zur Finanzierung seines Lebensunterhalts zu erlangen, wobei es gemäss der Vorinstanz teilweise beim Versuch blieb. Die Daten der Strassenverkehrsunfälle sowie die von den Versicherungen an den Beschwerdeführer geleisteten Zahlungen für die Reparatur der Fahrzeuge bzw. für den Zeitwert der beschädigten Fahrzeuge sowie teilweise auch für die angebliche Beschädigung von mitgeführten Gegenständen ergeben sich aus der Anklageschrift. Die Vorinstanz äussert sich im Zusammenhang mit den einzelnen Anklagesachverhalten jeweils zum Umfang der Versicherungszahlungen an den Beschwerdeführer. Dieser zeigt nicht rechtsgenügend auf, weshalb der von der Vorinstanz errechnete Betrag von Fr. 28'000.-- oder deren Feststellungen in Bezug auf den Tatzeitraum schlechterdings unhaltbar und damit geradezu willkürlich sein könnten. Im Übrigen behauptet der Beschwerdeführer in seiner Beschwerde zwar, der Betrag von Fr. 28'000.-- sei falsch, ohne jedoch darzulegen, dass sich die angeblich falsche Berechnung der Vorinstanz zu seinen Ungunsten auswirkte. Letzteres ist ausgehend von den vorinstanzlichen Feststellungen zu den einzelnen Anklagesachverhalten auch nicht ohne Weiteres ersichtlich. Dass die Vorinstanz im Zusammenhang mit dem Tatbestandsmerkmal der Gewerbsmässigkeit nicht im Einzelnen aufzeigt, wie sich die Bereicherung des Beschwerdeführers rechnerisch zusammensetzt, entbindet diesen nicht davon, anhand eigener Berechnungen darzulegen, weshalb die Vorinstanz den Sachverhalt zu seinen Ungunsten offensichtlich falsch festgestellt haben könnte. Die Kritik des Beschwerdeführers betreffend das Qualifikationsmerkmal der Gewerbsmässigkeit ist ebenfalls unbegründet, soweit sie den gesetzlichen Begründungsanforderungen überhaupt zu genügen vermag.</w:t>
      </w:r>
    </w:p>
    <w:p>
      <w:r>
        <w:rPr>
          <w:b/>
        </w:rPr>
        <w:t>E. 2.7</w:t>
      </w:r>
    </w:p>
    <w:p>
      <w:r>
        <w:t>Die übrigen Tatbestandsvoraussetzungen von Art. 146 Abs. 1 und 2 StGB geben zu keinen Bemerkungen Anlass. Der vorinstanzliche Schuldspruch wegen gewerbsmässigen Betrugs ist bundesrechtskonform.</w:t>
      </w:r>
    </w:p>
    <w:p>
      <w:r>
        <w:rPr>
          <w:b/>
        </w:rPr>
        <w:t>E. 3.1</w:t>
      </w:r>
    </w:p>
    <w:p>
      <w:r>
        <w:t>Im Zusammenhang mit der Strafzumessung rügt der Beschwerdeführer eine Verletzung des Beschleunigungsgebots, was sich strafmindernd auswirken müsse. Sowohl die gesamte Verfahrensdauer von rund acht Jahren als auch ganz besonders die mit vier Jahren die Hälfte dieser ganzen Zeit ausmachende Anhängigkeit des Verfahrens am Obergericht, die sich sachlich in keiner Art und Weise begründen lasse, würden gravierende Verletzungen des Beschleunigungsgebots darstellen.</w:t>
      </w:r>
    </w:p>
    <w:p>
      <w:r>
        <w:rPr>
          <w:b/>
        </w:rPr>
        <w:t>E. 3.2.1</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6B_834/2020 vom 3. Februar 2022 E. 1.3; 6B_855/2020 vom 25. Oktober 2021 E. 1.5.2; 6B_23/2021 vom 20. Juli 2021 E. 4.2).</w:t>
      </w:r>
    </w:p>
    <w:p>
      <w:r>
        <w:rPr>
          <w:b/>
        </w:rPr>
        <w:t>E. 3.2.2</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Hingegen genügt es nicht, dass die eine oder andere Handlung mit einer etwas grösseren Beschleunigung hätte vorgenommen werden können (zum Ganzen: BGE 130 IV 54 E. 3.3.3 ; 124 I 139 E. 2c; Urteile 6B_834/2020 vom 3. Februar 2022 E. 1.3; 6B_855/2020 vom 25. Oktober 2021 E. 1.5.3).</w:t>
      </w:r>
    </w:p>
    <w:p>
      <w:r>
        <w:rPr>
          <w:b/>
        </w:rPr>
        <w:t>E. 3.2.3</w:t>
      </w:r>
    </w:p>
    <w:p>
      <w:r>
        <w:t>Wird eine Verletzung des Beschleunigungsgebots festgestellt, ist dieser Umstand angemessen zu berücksichtigen. Als Sanktionen kommen nach der Rechtsprechung im Strafurteil die Berücksichtigung der Verfahrensverzögerung bei der Strafzumessung im Sinne einer Strafreduktion, manchmal die Schuldigsprechung unter gleichzeitigem Strafverzicht oder in extremen Fällen - als ultima ratio - die Einstellung des Verfahrens in Betracht ( BGE 143 IV 373 E. 1.4.1, 49 E. 1.8.2; 133 IV 158 E. 8; Urteil 6B_855/2020 vom 25. Oktober 2021 E. 1.5.4).</w:t>
      </w:r>
    </w:p>
    <w:p>
      <w:r>
        <w:rPr>
          <w:b/>
        </w:rPr>
        <w:t>E. 3.3</w:t>
      </w:r>
    </w:p>
    <w:p>
      <w:r>
        <w:t>Die Vorinstanz geht davon aus, das Verfahren gegen den Beschwerdeführer habe rund acht Jahre gedauert. Aufgrund des Vorfalls vom 7. November 2012 sei am 10. April 2013 zuerst ein polizeiinterner Ermittlungsbericht fertiggestellt worden und am 23. Mai 2013 sei es zur Verhaftung des Beschwerdeführers gekommen. Angesichts der beträchtlichen Delinquenz des Beschwerdeführers und unter Berücksichtigung der erforderlichen, sehr komplexen Sachverhaltsabklärungen und auch der im Berufungsverfahren erfolgten Ergänzung des Gutachtens erweise sich die Verfahrensdauer bis zum zweitinstanzlichen Urteil zwar als lange, aber nicht als überlang, weshalb gerade noch keine Verletzung des Beschleunigungsgebots vorliege, welcher mit einer Strafminderung Rechnung zu tragen wäre (angefochtenes Urteil S. 143 f.).</w:t>
      </w:r>
    </w:p>
    <w:p>
      <w:r>
        <w:rPr>
          <w:b/>
        </w:rPr>
        <w:t>E. 3.4</w:t>
      </w:r>
    </w:p>
    <w:p>
      <w:r>
        <w:t>Für die Zeit seit der Verhaftung des Beschwerdeführers am 23. Mai 2013 bis zur Anklageerhebung am 31. August 2016 und danach bis zum Versand der schriftlichen Begründung des erstinstanzlichen Urteils am 20. Juli 2017 ist entgegen der Kritik des Beschwerdeführers keine Verletzung des Beschleunigungsgebots auszumachen. Die Vorinstanz legt zutreffend dar, dass die Ermittlungen gegen den Beschwerdeführer komplex waren, da eine Vielzahl von Strassenverkehrsunfällen aufzuklären war. In diese waren nebst dem Fahrzeug des Beschwerdeführers teils mehrere weitere Fahrzeuge involviert und es kam insgesamt zu einer grossen Anzahl Geschädigter (Motorfahrzeughaftpflichtversicherungen, Fahrzeughalter bzw. -eigentümer, Fahrzeuglenker und allfällige Mitfahrer).</w:t>
      </w:r>
    </w:p>
    <w:p>
      <w:r>
        <w:rPr>
          <w:b/>
        </w:rPr>
        <w:t>E. 3.5.1</w:t>
      </w:r>
    </w:p>
    <w:p>
      <w:r>
        <w:t>Die Berufungserklärung des Beschwerdeführers datiert vom 11. August 2017. Mit Präsidialverfügung vom 15. August 2017 wurde den Partei die 20-tägige Frist für die Anschlussberufung angesetzt. Danach wurde der Privatklägerin 8 am 9. Oktober 2017 eine zehntägige Frist für die Einreichung einer Vollmacht sowie zur Verdeutlichung ihrer Anschlussberufung angesetzt (kant. Akten, Urk. 83), woraufhin diese die Anschlussberufung zurückzog (vgl. kant. Akten, Urk. 85). Am 16. Oktober 2017 wurde dem Beschwerdeführer und den Privatklägern eine Kopie der Anschlussberufung der Staatsanwaltschaft zugestellt (kant. Akten, Urk. 87). Am 3. Juli 2018 gab die Vorinstanz dem vom Beschwerdeführer in der Berufungserklärung gestellten Antrag auf Ergänzung des psychiatrischen Gutachtens zu seiner Schuldfähigkeit statt, wobei das Ergänzungsgutachten am 21. September 2018 bei der Vorinstanz einging (kant. Akten, Urk. 91 und 93). Mit Verfügung vom 1. November 2018 wurde der Staatsanwaltschaft und dem amtlichen Verteidiger eine 30-tägige Frist zur Stellungnahme zum Ergänzungsgutachten eingeräumt (kant. Akten, Urk. 94). Die Staatsanwaltschaft verzichtete am 20. November 2018 auf eine Vernehmlassung (kant. Akten, Urk. 96). Der amtliche Verteidiger reichte seine Stellungnahme am 18. Februar 2019 innert zweimal erstreckter Frist ein, wobei er ein Ober- bzw. Zweitgutachten beantragte sowie eine Zeugeneinvernahme seines Psychiaters, Dr. med. B.________ (vgl. kant. Akten, Urk. 97, 100 und 101; angefochtenes Urteil S. 12). Mit Verfügung vom 29. März 2019 wurde der Staatsanwaltschaft eine Frist angesetzt, um zum Beweisantrag des Beschwerdeführers vom 18. Februar 2019 Stellung zu nehmen. Diese Stellungnahme ging bei der Vorinstanz am 5. April 2019 ein (kant. Akten, Urk. 102 und 104). Per 1. Juli 2019 wurde das Verfahren infolge Pensionierung des vormaligen Referenten einem neuen Referenten zugeteilt, welcher den Beweisantrag des Beschwerdeführers vom 18. Februar 2019 mit Verfügung vom 2. August 2019 einstweilen abwies (angefochtenes Urteil S. 12; kant. Akten, Urk. 106). Danach wurden die Parteien am 20. März 2020 zur Hauptverhandlung vom 23. Oktober 2020 vorgeladen (kant. Akten, Urk. 111). Anlässlich der Berufungsverhandlung wurde dem amtlichen Verteidiger für die Dauer der Verhandlungspause eine Eingabe der Staatsanwältin vom 23. Mai 2013 samt E-Mail und eine Aktennotiz von Oberrichter C.________ vom 23. August 2019 vorgelegt. Nachdem die Verteidigung mitgeteilt hatte, dass sie nicht in der Lage sei, an der Berufungsverhandlung dazu Stellung zu nehmen, wurde ihr hierfür eine Frist bis zum 29. Oktober 2020 angesetzt. Mit ihrer Stellungnahme vom 29. Oktober 2020 stellte die Verteidigung zugleich ein Ausstandsbegehren gegen Oberrichter C.________. Dieses wurde am 30. Oktober 2020 zuständigkeitshalber an die I. Strafkammer des Obergerichts des Kantons Zürich überwiesen, welche das Ausstandsbegehren mit Beschluss vom 25. Januar 2021 abwies (angefochtenes Urteil S. 12 f.). Die schriftliche Begründung des zweitinstanzlichen Urteils vom 31. März 2021 wurde dem Beschwerdeführer am 14. Mai 2021 zugestellt (kant. Akten, Urk. 130).</w:t>
      </w:r>
    </w:p>
    <w:p>
      <w:r>
        <w:rPr>
          <w:b/>
        </w:rPr>
        <w:t>E. 3.5.2</w:t>
      </w:r>
    </w:p>
    <w:p>
      <w:r>
        <w:t>Das Berufungsverfahren dauerte bis zur Urteilsfällung folglich rund 43 ½ Monate und danach noch rund 1 ½ Monate für die schriftliche Urteilsbegründung, d.h. insgesamt 3 3/4 Jahre. Dies muss auch in Berücksichtigung der relativ umfangreichen Anklage sowie des Aktenumfangs als übermässig lang bezeichnet werden. Der Beschwerdeführer befand sich während des Berufungsverfahrens nicht in Haft. Hingegen drohte ihm, insbesondere auch angesichts der Anschlussberufung der Staatsanwaltschaft, welche eine Erhöhung des Strafmasses auf 5 ½ Jahre beantragt hatte, eine lange, unbedingte Freiheitsstrafe, womit ihm dennoch ein erhebliches Interesse an einer beförderlichen Behandlung seiner Berufung zuerkannt werden muss. Besondere, im Verhalten des Beschwerdeführers liegende Umstände, welche die lange Verfahrensdauer zu rechtfertigen vermöchten, zeigt die Vorinstanz im angefochtenen Entscheid nicht auf. Solche sind auch nicht ersichtlich. Den Akten ist vielmehr zu entnehmen, dass die beantragte Ergänzung zum Gutachten von Dr. med. D.________ vom 4. November 2013, in welchem dieser beim Beschwerdeführer das Vorliegen einer Persönlichkeitsstörung oder einer anderweitigen psychischen Störung im Tatzeitpunkt verneinte und von einer vollen Schuldfähigkeit ausging (vgl. angefochtenes Urteil S. 31 ff.), weniger als drei Monate (Sommerferien inbegriffen) in Anspruch nahm. Zwar geht aus dem angefochtenen Entscheid und den Akten auch hervor, dass der Verteidiger des Beschwerdeführers für seine Stellungnahme zum erwähnten Ergänzungsgutachten zweimal um Fristerstreckung ersuchte, womit eine Verzögerung von maximal 2 ½ Monaten einherging. Weiter stellte er am 29. Oktober 2020 ein Ausstandsgesuch gegen Oberrichter C.________, welches rund drei Monate später abgewiesen wurde. Selbst wenn auch darin eine vom Beschwerdeführer zu verantwortende Verfahrensverzögerung erblickt würde - was die Vorinstanz im angefochtenen Entscheid jedoch nicht behauptet -, käme die Verfahrensdauer von mehr als drei Jahren alleine für das Berufungsverfahren nach wie vor einer Verletzung des Beschleunigungsgebots gleich.</w:t>
      </w:r>
    </w:p>
    <w:p>
      <w:r>
        <w:rPr>
          <w:b/>
        </w:rPr>
        <w:t>E. 3.5.3</w:t>
      </w:r>
    </w:p>
    <w:p>
      <w:r>
        <w:t>Die Beschwerde ist in diesem Punkt gutzuheissen und die Angelegenheit zur Neubeurteilung an die Vorinstanz zurückweisen. Diese hat der Verletzung des Beschleunigungsgebots bei der Strafzumessung mit einer Strafreduktion Rechnung zu tragen (oben E. 3.2.3), wobei sie bezüglich des Umfangs dieser Strafreduktion über ein gewisses Ermessen verfügt ( BGE 143 IV 373 E. 1.4.1).</w:t>
      </w:r>
    </w:p>
    <w:p>
      <w:r>
        <w:rPr>
          <w:b/>
        </w:rPr>
        <w:t>E. 4</w:t>
      </w:r>
    </w:p>
    <w:p>
      <w:r>
        <w:t>Die Beschwerde ist teilweise gutzuheissen und im Übrigen abzuweisen, soweit darauf einzutreten ist. Der Kanton Zürich hat den Beschwerdeführer im Umfang seines Obsiegens für das bundesgerichtliche Verfahren angemessen zu entschädigen ( Art. 68 Abs. 1 und 2 BGG ). Das Gesuch um unentgeltliche Rechtspflege wird in diesem Umfang gegenstandslos. Da der Beschwerdeführer um unentgeltliche Rechtspflege ersucht, ist die Entschädigung praxisgemäss seinem Rechtsvertreter zuzusprechen. Der Beschwerdeführer war im Zeitpunkt seiner Beschwerde durch Rechtsanwalt Beat Hess vertreten, welcher sich später durch Rechtsanwalt Philip Stolkin substituieren liess. Die Entschädigung ist dennoch Rechtsanwalt Philip Stolkin zuzusprechen, welcher sie gegebenenfalls an den früheren Verteidiger des Beschwerdeführers und Verfasser der Eingaben vor Bundesgericht weiterzuleiten hat.</w:t>
      </w:r>
    </w:p>
    <w:p>
      <w:r>
        <w:t>Im Übrigen ist das Gesuch um unentgeltliche Rechtspflege abzuweisen, da die Beschwerde in den übrigen Punkten aussichtlos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