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6B_709/2020 vom 18. Juni 2020</w:t>
      </w:r>
    </w:p>
    <w:p>
      <w:r>
        <w:t>Bundesgericht, 2020-06-18, FR</w:t>
      </w:r>
    </w:p>
    <w:p>
      <w:r>
        <w:rPr>
          <w:b/>
        </w:rPr>
        <w:t xml:space="preserve">Quelle: </w:t>
      </w:r>
      <w:r>
        <w:t>https://mcp.opencaselaw.ch/entscheid/bger_6B_709_2020</w:t>
      </w:r>
    </w:p>
    <w:p>
      <w:r>
        <w:t>FR: TF 6B_709/2020 du 18 juin 2020</w:t>
      </w:r>
    </w:p>
    <w:p>
      <w:r>
        <w:t>IT: TF 6B_709/2020 del 18 giugno 2020</w:t>
      </w:r>
    </w:p>
    <w:p>
      <w:pPr>
        <w:pStyle w:val="Heading2"/>
      </w:pPr>
      <w:r>
        <w:t>Erwägungen</w:t>
      </w:r>
    </w:p>
    <w:p>
      <w:r>
        <w:rPr>
          <w:b/>
        </w:rPr>
        <w:t>E. 1</w:t>
      </w:r>
    </w:p>
    <w:p>
      <w:r>
        <w:t>Par arrêt du 8 mai 2020, la Chambre pénale de recours de la Cour de justice de la République et canton de Genève a rejeté le recours formé par A.________ contre l'ordonnance du 9 décembre 2019 par laquelle le Ministère public genevois a refusé d'entrer en matière sur la plainte déposée par le prénommé contre B.________ pour diffamation. Elle a également rejeté la demande d'assistance judiciaire.</w:t>
      </w:r>
    </w:p>
    <w:p>
      <w:r>
        <w:t>A.________ forme un recours en matière pénale au Tribunal fédéral contre l'arrêt précité. Il conclut, principalement, à son annulation et à ce qu'il soit ordonné au Ministère public d'ouvrir une procédure préliminaire contre B.________ et d'entendre le témoin proposé. Subsidiairement, il conclut à l'annulation de la décision attaquée et au renvoi de la cause à l'autorité précédente pour nouvelle décision au sens des considérants. Il requiert, par ailleurs, l'assistance judiciaire et l'octroi de l'effet suspensif.</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6B_566/2020 du 8 juin 2020 consid. 2.1; 6B_17/2020 du 7 avril 2020 consid. 1.1; 6B_116/2020 du 25 mars 2020 consid. 2.1).</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6B_17/2020 précité consid. 1.1; 6B_1047/2019 du 15 janvier 2020 consid. 2.1; 6B_673/2019 du 31 octobre 2019 consid. 1.1).</w:t>
      </w:r>
    </w:p>
    <w:p>
      <w:r>
        <w:rPr>
          <w:b/>
        </w:rPr>
        <w:t>E. 2.2</w:t>
      </w:r>
    </w:p>
    <w:p>
      <w:r>
        <w:t>En substance, A.________ reproche à B.________ d'avoir informé un tiers, avec lequel le premier nommé entretenait une relation, du fait qu'il est séropositif. Il indique vouloir déposer des conclusions civiles, en demandant notamment une indemnité pour tort moral. Il soutient que l'acte reproché l'aurait plongé dans un profond désarroi et qu'il vivrait dans la crainte que son entourage ou des inconnus puissent discuter de son état de santé et que cela puisse être utilisé contre lui ou être une source de harcèlement ou d'exclusion. Toutefois, il n'étaye aucunement son affirmation, ni ne produit aucune pièce attestant de son état de santé mentale. De simples affirmations à ce sujet ne sont pas suffisantes eu égard aux exigences de motivation découlant de l' art. 42 al. 1 LTF . En outre, elles ne permettent pas de comprendre en quoi l'atteinte subie atteindrait la gravité objective et subjective que la jurisprudence exige pour l'allocation d'une indemnité pour tort moral (cf. art. 49 CO ; ATF 131 III 26 consid. 12.1 p. 29). L'absence d'explications suffisantes sur la question des prétentions civiles exclut sa qualité pour recourir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Le recourant reproche à la cour cantonale de ne pas avoir donné suite à sa réquisition de preuve. Ses développements à cet égard ne visent qu'à démontrer en quoi cette mesure était nécessaire afin d'établir ses accusations. Il ne fait ainsi valoir aucun moyen qui peut être séparé du fond et ses griefs ne sauraient fonder sa qualité pour recourir.</w:t>
      </w:r>
    </w:p>
    <w:p>
      <w:r>
        <w:rPr>
          <w:b/>
        </w:rPr>
        <w:t>E. 2.5</w:t>
      </w:r>
    </w:p>
    <w:p>
      <w:r>
        <w:t>Le recourant conteste le refus de lui octroyer l'assistance judiciaire sur le plan cantonal. Dans cette mesure, il dispose de la qualité pour recourir.</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w:t>
      </w:r>
    </w:p>
    <w:p>
      <w:r>
        <w:t>Le recourant fait grief à la cour cantonale d'avoir jugé des chances de succèsex post alors qu'il aurait dû procéder à une analyse des chances avant le jugement. Il n'expose toutefois pas en quoi cette analyseex ante aurait conduit à un résultat différent. Il n'indique ainsi pas en quoi la cour cantonale aurait violé le droit en estimant que son recours était dénué de chance de succès et ne formule donc aucun grief, répondant aux exigences de motivation de l' art. 42 al. 2 LTF . La critique du recourant est irrecevable.</w:t>
      </w:r>
    </w:p>
    <w:p>
      <w:r>
        <w:rPr>
          <w:b/>
        </w:rPr>
        <w:t>E. 3</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r>
        <w:t>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