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6B_708/2021 vom 15. Juli 2021</w:t>
      </w:r>
    </w:p>
    <w:p>
      <w:r>
        <w:t>Bundesgericht, 2021-07-15, DE</w:t>
      </w:r>
    </w:p>
    <w:p>
      <w:r>
        <w:rPr>
          <w:b/>
        </w:rPr>
        <w:t xml:space="preserve">Quelle: </w:t>
      </w:r>
      <w:r>
        <w:t>https://mcp.opencaselaw.ch/entscheid/bger_6B_708_2021</w:t>
      </w:r>
    </w:p>
    <w:p>
      <w:r>
        <w:t>FR: TF 6B_708/2021 du 15 juillet 2021</w:t>
      </w:r>
    </w:p>
    <w:p>
      <w:r>
        <w:t>IT: TF 6B_708/2021 del 15 luglio 2021</w:t>
      </w:r>
    </w:p>
    <w:p>
      <w:pPr>
        <w:pStyle w:val="Heading2"/>
      </w:pPr>
      <w:r>
        <w:t>Erwägungen</w:t>
      </w:r>
    </w:p>
    <w:p>
      <w:r>
        <w:rPr>
          <w:b/>
        </w:rPr>
        <w:t>E. 1</w:t>
      </w:r>
    </w:p>
    <w:p>
      <w:r>
        <w:t>Die Vorinstanz trat am 8. Juni 2021 auf eine Beschwerde gegen eine Nichtanhandnahmeverfügung der Staatsanwaltschaft des Kantons Solothurn nicht ein, weil sie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und 2 StPO an die Beschwerdebegründung nicht substanziiert auseinander. Der blosse Einwand, Art. 385 StPO sei gesetzeswidrig, genügt nicht. Aus seiner Beschwerdeeingabe ergibt sich nicht, dass und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