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706/2014 vom 28. August 2015</w:t>
      </w:r>
    </w:p>
    <w:p>
      <w:r>
        <w:t>Bundesgericht, 2015-08-28, FR</w:t>
      </w:r>
    </w:p>
    <w:p>
      <w:r>
        <w:rPr>
          <w:b/>
        </w:rPr>
        <w:t xml:space="preserve">Quelle: </w:t>
      </w:r>
      <w:r>
        <w:t>https://mcp.opencaselaw.ch/entscheid/bger_6B_706_2014</w:t>
      </w:r>
    </w:p>
    <w:p>
      <w:r>
        <w:t>FR: TF 6B 706/2014 du 28 août 2015</w:t>
      </w:r>
    </w:p>
    <w:p>
      <w:r>
        <w:t>IT: TF 6B 706/2014 del 28 agosto 2015</w:t>
      </w:r>
    </w:p>
    <w:p>
      <w:pPr>
        <w:pStyle w:val="Heading2"/>
      </w:pPr>
      <w:r>
        <w:t>Regeste</w:t>
      </w:r>
    </w:p>
    <w:p>
      <w:r>
        <w:t>Frais et indemnité de partie | Procédure pénale</w:t>
      </w:r>
    </w:p>
    <w:p>
      <w:pPr>
        <w:pStyle w:val="Heading2"/>
      </w:pPr>
      <w:r>
        <w:t>Erwägungen</w:t>
      </w:r>
    </w:p>
    <w:p>
      <w:r>
        <w:rPr>
          <w:b/>
        </w:rPr>
        <w:t>E. 1</w:t>
      </w:r>
    </w:p>
    <w:p>
      <w:r>
        <w:t>Le recourant invoque que la mise à sa charge des frais de procédure de première instance et le refus en sa faveur d'une indemnité au sens de l' art. 429 al. 1 let. a CPP pour cette procédure violent cette disposition, de même que les art. 32 al. 1 Cst. , 6 par. 2 CEDH, 423 al. 1, 426 al. 2 et 430 al. 1 let. a CPP.</w:t>
      </w:r>
    </w:p>
    <w:p>
      <w:r>
        <w:rPr>
          <w:b/>
        </w:rPr>
        <w:t>E. 1.1</w:t>
      </w:r>
    </w:p>
    <w:p>
      <w:r>
        <w:t>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Il doit en outre se trouver dans une relation de causalité adéquate avec l'ouverture de l'enquête ou les obstacles mis à celle-ci ( ATF 116 Ia 162 consid. 2c p. 170 s. et plus récemment arrêt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1.2</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w:t>
      </w:r>
    </w:p>
    <w:p>
      <w:r>
        <w:rPr>
          <w:b/>
        </w:rPr>
        <w:t>E. 1.3</w:t>
      </w:r>
    </w:p>
    <w:p>
      <w:r>
        <w:t>En l'espèce, la cour cantonale a constaté que du matériel servant à cultiver du chanvre destiné à être utilisé comme stupéfiant avait été retrouvé chez le recourant, que celui-ci était parfaitement conscient du caractère illicite d'une telle production, qu'il avait toutefois choisi de ne pas détruire le matériel en question, mais de l'entreposer dans divers endroits de son exploitation. La présence de ce matériel, même démonté entièrement, était propre à faire naître le soupçon d'une culture illicite de chanvre et, dès lors, l'ouverture d'une enquête pénale. Le recourant avait ainsi créé consciemment et sans nécessité l'apparence qu'une infraction avait été ou pourrait avoir été commise. Ce comportement était susceptible de provoquer l'intervention des autorités répressives et l'ouverture d'une procédure pénale et, dès lors, de causer à la collectivité le dommage que constituent les frais liés à une instruction pénale ouverte inutilement. L'autorité précédente a dès lors jugé que les art. 426 al. 2 CPP et 430 al. 1 let. a CPP étaient applicables.</w:t>
      </w:r>
    </w:p>
    <w:p>
      <w:r>
        <w:rPr>
          <w:b/>
        </w:rPr>
        <w:t>E. 1.4</w:t>
      </w:r>
    </w:p>
    <w:p>
      <w:r>
        <w:t>Il n'est pas reproché au recourant d'avoir cultivé, produit ou vendu des stupéfiants, mais uniquement d'avoir conservé chez lui des parties de matériel qui auraient pu y servir. Comme le relève le recourant, la motivation de l'arrêt attaqué n'indique pas quelle norme résultant de l'ordre juridique suisse, telle que définie ci-dessus ad consid. 1.1, aurait été violée par un tel comportement. Dans ces circonstances, le Tribunal fédéral ne peut contrôler la bonne application du droit fédéral, en particulier des art. 426 al. 2 et 430 al. 1 let. a CPP. Il convient donc d'annuler l'arrêt attaqué et de renvoyer la cause à l'autorité précédente afin qu'elle motive sa décision ( art. 112 al. 3 LTF ). Dans cette configuration, le Tribunal fédéral peut procéder au renvoi sans avoir préalablement ordonné un échange d'écritures ( ATF 133 IV 293 consid. 3.4.2 p. 296).</w:t>
      </w:r>
    </w:p>
    <w:p>
      <w:r>
        <w:rPr>
          <w:b/>
        </w:rPr>
        <w:t>E. 2</w:t>
      </w:r>
    </w:p>
    <w:p>
      <w:r>
        <w:t>Le recours doit être admis et l'arrêt annulé. L'Etat de Fribourg, qui succombe, est dispensé des frais judiciaires ( art. 66 al. 4 LTF ). Il versera des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