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6B_705/2013 vom 10. Dezember 2013</w:t>
      </w:r>
    </w:p>
    <w:p>
      <w:r>
        <w:t>Bundesgericht, 2013-12-10, FR</w:t>
      </w:r>
    </w:p>
    <w:p>
      <w:r>
        <w:rPr>
          <w:b/>
        </w:rPr>
        <w:t xml:space="preserve">Quelle: </w:t>
      </w:r>
      <w:r>
        <w:t>https://mcp.opencaselaw.ch/entscheid/bger_6B_705_2013</w:t>
      </w:r>
    </w:p>
    <w:p>
      <w:r>
        <w:t>FR: TF 6B_705/2013 du 10 décembre 2013</w:t>
      </w:r>
    </w:p>
    <w:p>
      <w:r>
        <w:t>IT: TF 6B_705/2013 del 10 dicembre 2013</w:t>
      </w:r>
    </w:p>
    <w:p>
      <w:pPr>
        <w:pStyle w:val="Heading2"/>
      </w:pPr>
      <w:r>
        <w:t>Erwägungen</w:t>
      </w:r>
    </w:p>
    <w:p>
      <w:r>
        <w:rPr>
          <w:b/>
        </w:rPr>
        <w:t>E. 1</w:t>
      </w:r>
    </w:p>
    <w:p>
      <w:r>
        <w:t>Seule est encore litigieuse, à ce stade de la procédure, la question de savoir si le recourant doit ou non faire l'objet d'une mesure d'internement.</w:t>
      </w:r>
    </w:p>
    <w:p>
      <w:r>
        <w:rPr>
          <w:b/>
        </w:rPr>
        <w:t>E. 1.1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1.2</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 ATF 133 II 384 consid. 4.2.3 p. 391 ; 129 I 49 consid. 4 p. 57 ;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118 Ia 144 consid. 1c p. 146).</w:t>
      </w:r>
    </w:p>
    <w:p>
      <w:r>
        <w:rPr>
          <w:b/>
        </w:rPr>
        <w:t>E. 1.3</w:t>
      </w:r>
    </w:p>
    <w:p>
      <w:r>
        <w:t>L'internement fondé sur l' 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 art. 64 al. 1 CP (arrêt 6B_313/2010 du 1er octobre 2010 consid. 3.2.1).</w:t>
      </w:r>
    </w:p>
    <w:p>
      <w:r>
        <w:t>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rPr>
          <w:b/>
        </w:rPr>
        <w:t>E. 1.4</w:t>
      </w:r>
    </w:p>
    <w:p>
      <w:r>
        <w:t>L' art. 64 al. 2 CP prévoit qu'en cas de prononcé d'une peine privative de liberté et d'un internement, l'auteur doit d'abord purger la peine privative de liberté avant d'exécuter l'internement.</w:t>
      </w:r>
    </w:p>
    <w:p>
      <w:r>
        <w:rPr>
          <w:b/>
        </w:rPr>
        <w:t>E. 2.1</w:t>
      </w:r>
    </w:p>
    <w:p>
      <w:r>
        <w:t>Le recourant s'est rendu coupable d'une infraction au sens de l' art. 64 al. 1 CP , de sorte que la première condition de l'internement est réalisée (cf. arrêts 6b_313/2010 et 6B_354/2012). Comme il n'est pas atteint d'une maladie mentale, il convient d'examiner s'il est sérieusement à craindre qu'il ne commette d'autres infractions du même genre en raison de sa personnalité, des circonstances dans lesquelles il a commis les infractions reprochées et de son vécu ( art. 64 al. 1 let. a CP ).</w:t>
      </w:r>
    </w:p>
    <w:p>
      <w:r>
        <w:rPr>
          <w:b/>
        </w:rPr>
        <w:t>E. 2.2</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ATF 135 IV 49 consid. 1.1.2 p. 53). Le risque de récidive peut se rapporter à un cercle restreint de personnes ( ATF 127 IV 1 consid. 2c/ee p. 9).</w:t>
      </w:r>
    </w:p>
    <w:p>
      <w:r>
        <w:t>Il faut être conscient qu'il est aléatoire et difficile d'évaluer le degré de dangerosité d'un délinquant et, partant, que tout pronostic de dangerosité est incertain ( ATF 127 IV 1 consid. 2a p. 5). Le taux de fiabilité est plus faible s'agissant de délinquants primaires qui ne souffrent d'aucun trouble mental, dans la mesure où les précédentes infractions constituent l'indice le plus fiable pour évaluer la dangerosité ( MARIANNE HEER, in Basler Kommentar, Strafrecht I, 2e éd., 2007, n. 51 ad art. 64 CP ). Selon la doctrine, l'internement ne devrait donc être ordonné que dans des cas extrêmes à l'égard de délinquants primaires dangereux qui ne présentent pas de trouble au sens de la psychiatrie ( HEER, op. cit., n. 51 ad art. 64 CP ; SCHWARZENEGGER/HUG/JOSITCH, op. cit., p. 189; MICHEL DUPUIS ET AL., Petit commentaire CP, 2e éd., 2012, n. 11 ad art. 64).</w:t>
      </w:r>
    </w:p>
    <w:p>
      <w:r>
        <w:rPr>
          <w:b/>
        </w:rPr>
        <w:t>E. 3.1</w:t>
      </w:r>
    </w:p>
    <w:p>
      <w:r>
        <w:t>Les nouveaux experts ont confirmé le diagnostic de trouble dyssocial de la personnalité et d'antécédents d'utilisation nocive pour la santé de substances psycho-active multiples. Le diagnostic de personnalité dyssociale reste présent; la période d'incarcération a permis au recourant de vivre durant plusieurs années pratiquement sans substances psycho-actives.</w:t>
      </w:r>
    </w:p>
    <w:p>
      <w:r>
        <w:t>Pour évaluer le risque de récidive d'actes à caractère sexuel, les experts ont recouru à l'instrument d'évaluation actuariel Static-99, qui a donné une probabilité statistique élevée de risque de récidive pour l'avenir. Selon les experts, le résultat ainsi obtenu ne permet toutefois pas de distinguer si le risque de récidive se rapporte à des infractions du type de la contrainte sexuelle ou à des infractions telles que l'exhibitionnisme. En revanche, les experts n'ont pas décelé une problématique paraphilique de type pédophile ni donc un risque spécifique d'agression sexuelle envers des enfants.</w:t>
      </w:r>
    </w:p>
    <w:p>
      <w:r>
        <w:t>Les experts ont ensuite pondéré ce risque de récidive par l'analyse de facteurs additionnels, tels que le recommandaient les auteurs de l'échelle susmentionnée.</w:t>
      </w:r>
    </w:p>
    <w:p>
      <w:r>
        <w:t>Premièrement, ils ont constaté que la consommation d'alcool ou de drogues avait contribué à la facilitation des passages à l'acte et à une certaine désorganisation de l'ensemble des comportements que le recourant présentait durant cette période. Le maintien strict de l'abstinence de consommation de substances psycho-actives paraissait un facteur dynamique susceptible de jouer un rôle dans la réduction du risque de récidive. La durée de la détention effectuée à ce jour avait permis une longue période sans consommation, ce qui ne rendait pas impossible le maintien à long terme de cette abstinence.</w:t>
      </w:r>
    </w:p>
    <w:p>
      <w:r>
        <w:t>En deuxième lieu, selon les experts, la crainte d'une nouvelle condamnation de longue, voire de très longue durée, pouvait constituer un autre facteur protecteur contre le risque de récidive.</w:t>
      </w:r>
    </w:p>
    <w:p>
      <w:r>
        <w:t>Enfin, ils ont mentionné, comme troisième facteur modérateur, l'âge de l'auteur, expliquant que le passage des ans s'accompagne chez bon nombre de délinquants de type dyssocial d'une atténuation de la propension criminogène. Ils ont toutefois admis qu'il était difficile d'évaluer la validité de ce troisième facteur.</w:t>
      </w:r>
    </w:p>
    <w:p>
      <w:r>
        <w:t>L'ensemble de ces facteurs a conduit les experts à considérer que le risque de récidive d'agression à caractère sexuel était de moyen à élevé. Ils ont ajouté qu'un contrôle du maintien de l'abstinence pourrait représenter une mesure participant à la réduction significative de ce risque.</w:t>
      </w:r>
    </w:p>
    <w:p>
      <w:r>
        <w:rPr>
          <w:b/>
        </w:rPr>
        <w:t>E. 3.2</w:t>
      </w:r>
    </w:p>
    <w:p>
      <w:r>
        <w:t>La cour cantonale a relevé qu'il était pratiquement impossible d'apprécier la validité des éventuels facteurs de réduction du risque de récidive que pourraient représenter l'âge du recourant ou sa crainte de nouvelles sanctions, cette dernière n'ayant pas joué un rôle décisif jusqu'à présent puisqu'il en était, avec la présente affaire, à sa quinzième condamnation depuis 1999. Selon la cour cantonale, le seul facteur d'atténuation relativement significative du risque pourrait être une abstinence de substances psycho-actives à long terme. Toutefois, la cour cantonale a considéré qu'elle ne disposait d'aucun moyen suffisamment efficace pour imposer une telle abstinence, le recourant arrivant bientôt au terme de l'exécution de la peine privative de liberté à laquelle il a été condamné. Pour elle, les seules bonnes intentions annoncées par le recourant, relativement à sa consommation future de telles substances, ne sauraient constituer une assurance suffisante, pas plus que son abstinence forcée, durant l'exécution de la peine, relativement brève par comparaison avec ses années de consommation. Elle a enfin déclaré qu'un traitement ambulatoire visant à maintenir cette abstinence serait une mesure clairement insuffisante pour garantir que l'intéressé ne commette pas à l'avenir de nouvelles infractions d'ordre sexuel. En conséquence, la cour cantonale a admis que toutes les conditions posées à l' art. 64 CP étaient réunies.</w:t>
      </w:r>
    </w:p>
    <w:p>
      <w:r>
        <w:rPr>
          <w:b/>
        </w:rPr>
        <w:t>E. 3.3</w:t>
      </w:r>
    </w:p>
    <w:p>
      <w:r>
        <w:t>En retenant un risque " hautement vraisemblable " de récidive pour les infractions du type de la contrainte sexuelle, la cour cantonale s'est toutefois écartée de l'expertise.</w:t>
      </w:r>
    </w:p>
    <w:p>
      <w:r>
        <w:t>En effet, les experts ont retenu un risque de récidive " élevé " dans l'hypothèse la plus pessimiste. Ils ont toutefois considéré que ce risque devait être réduit et qualifié de " moyen à élevé " si l'on tenait compte de l'âge du recourant, de la sanction pénale déjà subie et surtout en cas d'abstinence du recourant. La cour cantonale a estimé que les facteurs de réduction ne pouvaient pas être appréciés, avec pour seul argument que les antécédents parlaient en sa défaveur. Les experts ont cependant tenu compte de ces antécédents, expliquant que si les condamnations antérieures s'avéraient nombreuses, seule une s'était soldée par un emprisonnement d'une durée significative pour lui.</w:t>
      </w:r>
    </w:p>
    <w:p>
      <w:r>
        <w:t>En outre, la cour cantonale a méconnu le fait que les experts n'ont pas pu préciser la nature des infractions sexuelles visées et dire si le risque de récidive concernait des infractions telles que le viol ou la contrainte sexuelle ou visait seulement les actes d'exhibitionnisme. Or, pour que l'internement puisse être prononcé, il faut que le risque de récidive " hautement vraisemblable " intervienne dans le cadre des infractions énumérées par l'article 64 al. 1 CP, à savoir des infractions du type de la contrainte sexuelle.</w:t>
      </w:r>
    </w:p>
    <w:p>
      <w:r>
        <w:t>En conclusion, contrairement à ce que soutient la cour cantonale, l'expertise ne permet pas d'admettre l'existence d'un risque de récidive hautement vraisemblable de commission de nouvelles infractions du type de la contrainte sexuelle. En déclarant que le risque de récidive était " hautement vraisemblable ", la cour cantonale s'est écartée de l'expertise et est donc tombée dans l'arbitraire. Elle a également violé le droit fédéral en ne tenant pas compte du type d'infractions concernées par le risque de récidive.</w:t>
      </w:r>
    </w:p>
    <w:p>
      <w:r>
        <w:rPr>
          <w:b/>
        </w:rPr>
        <w:t>E. 4</w:t>
      </w:r>
    </w:p>
    <w:p>
      <w:r>
        <w:t>Il est admis que le recourant a souffert, voire souffre, d'une addiction, et qu'il existe un risque de récidive de moyen à élevé. Les experts ont estimé que le maintien de l'abstinence diminuerait " significativement " le risque de récidive. Il convient donc d'examiner si une mesure institutionnelle ou un traitement ambulatoire serait apte à détourner le recourant de la commission de nouvelles infractions. Comme la fin de l'exécution de la peine privative de liberté est intervenue le 24 octobre 2013, se pose notamment la question de savoir si ces mesures peuvent encore être ordonnées alors qu'il ne reste au condamné plus aucun solde de peine à purger à la date du jugement.</w:t>
      </w:r>
    </w:p>
    <w:p>
      <w:r>
        <w:rPr>
          <w:b/>
        </w:rPr>
        <w:t>E. 4.1</w:t>
      </w:r>
    </w:p>
    <w:p>
      <w:r>
        <w:t>Outre les conditions générales prévues à l' art. 56 CP , le prononcé d'une mesure de traitement des addictions est subordonné à trois conditions cumulatives: l'auteur est toxico-dépendant ou souffre d'une autre addiction ( art. 60 al. 1 CP ), il a commis un crime ou un délit en relation avec cette addiction (art. 60 al. 1 lit. a CP) et il est à prévoir que la mesure le détournera de nouvelles infractions en relation avec cette addiction ( art. 60 al. 1 let. b CP ). La nécessité d'une mesure de traitement des addictions doit être constatée par une expertise, conformément à l' art. 56 al. 3 CP . L'addiction doit exister au moment de la commission de l'acte comme au moment du jugement. Bien qu'il ne s'agisse pas d'une condition au prononcé de la mesure, le juge est tenu de prendre en considération la demande de soins et la motivation de l'auteur par rapport au traitement ( art. 60 al. 2 CP ).</w:t>
      </w:r>
    </w:p>
    <w:p>
      <w:r>
        <w:t>Lorsque l'auteur est toxicomane ou souffre d'une autre addiction, le juge peut ordonner un traitement ambulatoire au lieu d'un traitement institutionnel ( art. 63 CP ). Il peut s'agir d'un traitement de type médical ou paramédical, à condition qu'il soit à même d'éliminer ou d'atténuer le danger de récidive ( ATF 124 IV 246 ).</w:t>
      </w:r>
    </w:p>
    <w:p>
      <w:r>
        <w:rPr>
          <w:b/>
        </w:rPr>
        <w:t>E. 4.2</w:t>
      </w:r>
    </w:p>
    <w:p>
      <w:r>
        <w:t>Le traitement ambulatoire peut être ordonné aussi bien pendant, qu'à la place ou après l'exécution d'une peine privative de liberté. Cette dernière option s'inscrit en effet dans l'intérêt de la réinsertion sociale du délinquant ainsi que dans celui de la prévention des récidives (FF 1999 1787 1986).</w:t>
      </w:r>
    </w:p>
    <w:p>
      <w:r>
        <w:t>La question de savoir si un traitement institutionnel des addictions peut être ordonné au terme de la peine privative de liberté est plus délicate, puisque celui-ci implique une privation de la liberté. La jurisprudence a admis qu'une mesure ambulatoire pouvait être convertie en une mesure institutionnelle après que la peine privative de liberté a été entièrement purgée, dans des cas clairement exceptionnels et dans le cadre d'une application stricte du principe de la proportionnalité ( ATF 136 IV 156 consid. 4.1). Par application analogique de cette jurisprudence, un traitement des addictions selon l' art. 60 CP pourrait entrer en ligne de compte dans la présente espèce pour le maintien de la sécurité publique.</w:t>
      </w:r>
    </w:p>
    <w:p>
      <w:r>
        <w:rPr>
          <w:b/>
        </w:rPr>
        <w:t>E. 5</w:t>
      </w:r>
    </w:p>
    <w:p>
      <w:r>
        <w:t>Le recours doit être admis, l'arrêt attaqué annulé et la cause renvoyée à la cour cantonale pour qu'elle ordonne un traitement des addictions ou un traitement ambulatoire.</w:t>
      </w:r>
    </w:p>
    <w:p>
      <w:r>
        <w:t>Le recourant qui obtient gain de cause ne supporte pas de frais judiciaires ( art. 66 al. 1 LTF ) et peut prétendre à une indemnité de dépens à la charge du canton de Neuchâtel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