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6B_703/2020 vom 12. Juni 2020</w:t>
      </w:r>
    </w:p>
    <w:p>
      <w:r>
        <w:t>Bundesgericht, 2020-06-12, FR</w:t>
      </w:r>
    </w:p>
    <w:p>
      <w:r>
        <w:rPr>
          <w:b/>
        </w:rPr>
        <w:t xml:space="preserve">Quelle: </w:t>
      </w:r>
      <w:r>
        <w:t>https://mcp.opencaselaw.ch/entscheid/bger_6B_703_2020</w:t>
      </w:r>
    </w:p>
    <w:p>
      <w:r>
        <w:t>FR: TF 6B_703/2020 du 12 juin 2020</w:t>
      </w:r>
    </w:p>
    <w:p>
      <w:r>
        <w:t>IT: TF 6B_703/2020 del 12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a été condamné à trois reprises entre 2018 et 2019, à un total de 369 jours de peine privative de liberté. Il exécute les peines en question depuis le 27 août 2019 et a purgé les deux tiers de ces sanctions le 1er mai 2020.</w:t>
      </w:r>
    </w:p>
    <w:p>
      <w:r>
        <w:t>Par ordonnance du 16 avril 2020, le Juge d'application des peines vaudois a refusé d'accorder au prénommé la libération conditionnelle.</w:t>
      </w:r>
    </w:p>
    <w:p>
      <w:r>
        <w:t>Par arrêt du 30 avril 2020, la Chambre des recours pénale du Tribunal cantonal du canton de Vaud a déclaré irrecevable le recours formé par A.________ contre cette ordonnance.</w:t>
      </w:r>
    </w:p>
    <w:p>
      <w:r>
        <w:t>A.________ forme un recours en matière pénale au Tribunal fédéral contre l'arrêt du 30 avril 2020.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le recourant ne prend pas de conclusions formelles mais discute tout à la fois, dans ses écritures, les événements ayant conduit à ses condamnations ainsi que sa situation personnelle. Il ne présente aucun grief recevable, répondant aux exigences de motivation découlant des art. 42 al. 2 et 106 al. 2 LTF, propre à démontrer que la cour cantonale aurait pu violer le droit.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doit être déclaré irrecevable. Le recourant, qui succombe, supporte les frais judiciaires ( art. 66 al. 1 LTF ), fixés en tenant compte de sa situation ( art. 65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