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703/2019 vom 2. Juli 2019</w:t>
      </w:r>
    </w:p>
    <w:p>
      <w:r>
        <w:t>Bundesgericht, 2019-07-02, FR</w:t>
      </w:r>
    </w:p>
    <w:p>
      <w:r>
        <w:rPr>
          <w:b/>
        </w:rPr>
        <w:t xml:space="preserve">Quelle: </w:t>
      </w:r>
      <w:r>
        <w:t>https://mcp.opencaselaw.ch/entscheid/bger_6B_703_2019</w:t>
      </w:r>
    </w:p>
    <w:p>
      <w:r>
        <w:t>FR: TF 6B 703/2019 du 2 juillet 2019</w:t>
      </w:r>
    </w:p>
    <w:p>
      <w:r>
        <w:t>IT: TF 6B 703/2019 del 2 luglio 2019</w:t>
      </w:r>
    </w:p>
    <w:p>
      <w:pPr>
        <w:pStyle w:val="Heading2"/>
      </w:pPr>
      <w:r>
        <w:t>Regeste</w:t>
      </w:r>
    </w:p>
    <w:p>
      <w:r>
        <w:t>Irrecevabilité formelle du recours en matière pénale | Procédure pénale</w:t>
      </w:r>
    </w:p>
    <w:p>
      <w:pPr>
        <w:pStyle w:val="Heading2"/>
      </w:pPr>
      <w:r>
        <w:t>Erwägungen</w:t>
      </w:r>
    </w:p>
    <w:p>
      <w:r>
        <w:rPr>
          <w:b/>
        </w:rPr>
        <w:t>E. 1</w:t>
      </w:r>
    </w:p>
    <w:p>
      <w:r>
        <w:t>Par ordonnance pénale du 28 novembre 2017, le Ministère public de l'arrondissement de Lausanne a condamné X.________, pour séjour illégal, à une peine privative de liberté de 50 jours. Ensuite de l'opposition formée par le prénommé contre cette ordonnance pénale, le ministère public a maintenu celle-ci et a transmis la cause au Tribunal de police de l'arrondissement de Lausanne. Le 10 septembre 2018, X.________ ne s'est pas présenté aux débats. Par prononcé du même jour, le tribunal a constaté le retrait de l'opposition ainsi que l'entrée en force de l'ordonnance pénale du 28 novembre 2017. Par arrêt du 29 avril 2019, la Chambre des recours pénale du Tribunal cantonal du canton de Vaud a déclaré irrecevable le recours formé, contre le prononcé du 10 septembre 2018, par A.________ - mère de X.________ - au nom de ce dernier. X.________ forme un recours en matière pénale au Tribunal fédéral contre l'arrêt du 29 avril 2019, en concluant à sa réforme en ce sens qu'il est condamné à une peine pécuniaire. Il demande également que A.________ soit entendue en qualité de témoin ou qu'elle soit amenée à produire une attestation aux termes de laquelle elle s'engagerait à régler la peine pécuniaire qui devrait être prononcée contre lui.</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les conclusions prises par le recourant sont dénuées de pertinence, dès lors que la cour cantonale n'a aucunement examiné le fond de la cause mais a déclaré irrecevable le recours formé contre le prononcé du 10 septembre 2018. De même, l'argumentation présentée par le recourant est irrecevable dans la mesure où elle s'attache à contester la peine qui lui a été infligée par l'ordonnance pénale du 28 novembre 2017. Pour le reste, le recourant ne démontre pas en quoi la cour cantonale aurait violé le droit, mais se borne à signaler que sa mère, si elle n'avait pas qualité pour former un recours en son nom devant l'autorité précédente, avait "assez de connaissances sur [s]on affaire" et disposait de procurations.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