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702/2011 vom 21. November 2011</w:t>
      </w:r>
    </w:p>
    <w:p>
      <w:r>
        <w:t>Bundesgericht, 2011-11-21, FR</w:t>
      </w:r>
    </w:p>
    <w:p>
      <w:r>
        <w:rPr>
          <w:b/>
        </w:rPr>
        <w:t xml:space="preserve">Quelle: </w:t>
      </w:r>
      <w:r>
        <w:t>https://mcp.opencaselaw.ch/entscheid/bger_6B_702_2011</w:t>
      </w:r>
    </w:p>
    <w:p>
      <w:r>
        <w:t>FR: TF 6B 702/2011 du 21 novembre 2011</w:t>
      </w:r>
    </w:p>
    <w:p>
      <w:r>
        <w:t>IT: TF 6B 702/2011 del 21 novembre 2011</w:t>
      </w:r>
    </w:p>
    <w:p>
      <w:pPr>
        <w:pStyle w:val="Heading2"/>
      </w:pPr>
      <w:r>
        <w:t>Regeste</w:t>
      </w:r>
    </w:p>
    <w:p>
      <w:r>
        <w:t>Infraction à la loi fédérale sur les stupéfiants | Infractions</w:t>
      </w:r>
    </w:p>
    <w:p>
      <w:pPr>
        <w:pStyle w:val="Heading2"/>
      </w:pPr>
      <w:r>
        <w:t>Erwägungen</w:t>
      </w:r>
    </w:p>
    <w:p>
      <w:r>
        <w:rPr>
          <w:b/>
        </w:rPr>
        <w:t>E. 1</w:t>
      </w:r>
    </w:p>
    <w:p>
      <w:r>
        <w:t>Le recourant se prévaut d'une violation des art. 10, 12 et 41 Cst. pour le motif que sa consommation de stupéfiants était légitimée par son état de santé et constituait un traitement adéquat. L'arrêt attaqué ne contient aucun examen des dispositions constitutionnelles précitées. Le recourant ne prétend pas qu'il aurait déjà soulevé des griefs d'ordre constitutionnel en instance cantonale et que la cour cantonale aurait commis un déni de justice en ne les examinant pas. Il n'établit ainsi pas avoir satisfait à l'exigence de l'épuisement des instances relativement aux griefs constitutionnels invoqués, lesquels sont par conséquent irrecevables ( art. 80 al. 1 LTF ; ATF 135 I 91 consid. 2.1 p. 93).</w:t>
      </w:r>
    </w:p>
    <w:p>
      <w:r>
        <w:rPr>
          <w:b/>
        </w:rPr>
        <w:t>E. 2</w:t>
      </w:r>
    </w:p>
    <w:p>
      <w:r>
        <w:t>Le recourant conteste sa condamnation en vertu de l' art. 19a LStup . Il met en cause la réalisation de l'élément subjectif. On comprend de sa motivation qu'il entend bénéficier de l' art. 21 CP (erreur sur l'illicéité) non seulement pour ce qui concerne les fleurs de cannabis mais également le haschich (résine de cannabis) qu'il a consommé.</w:t>
      </w:r>
    </w:p>
    <w:p>
      <w:r>
        <w:rPr>
          <w:b/>
        </w:rPr>
        <w:t>E. 2.1</w:t>
      </w:r>
    </w:p>
    <w:p>
      <w:r>
        <w:t>A l'instar du juge de première instance, la cour cantonale a considéré que le recourant devait bénéficier de l' art. 21 CP pour sa consommation de cannabis. Cette solution se fondait sur le fait que le médecin traitant du recourant lui avait prescrit en 2001 et précédemment à une date indéterminée, probablement en 1994, de consommer des fleurs de chanvre à titre thérapeutique en raison d'une maladie rhumatismale grave. Deux décisions judiciaires respectivement du 10 août 2001 et du 18 février 2002 avaient admis la consommation de cannabis en raison de la prescription médicale précitée. En revanche, la cour cantonale a refusé d'appliquer l' art. 21 CP à la consommation de haschich. Elle a mis en avant que la décision judiciaire du 18 février 2002 avait déjà retenu l'application de l' art. 19a LStup en raison de la consommation de haschich par le recourant, l'autorité judiciaire ayant alors expressément relevé que cette substance ne faisait pas partie de la prescription du médecin traitant. La cour cantonale a également indiqué que le haschich avait des effets plus forts que les fleurs de cannabis, ce que le recourant ne pouvait ignorer. Elle a en outre précisé que la prescription du médecin n'était pas conforme à l' art. 47 OCStup (RS 812.121.1).</w:t>
      </w:r>
    </w:p>
    <w:p>
      <w:r>
        <w:rPr>
          <w:b/>
        </w:rPr>
        <w:t>E. 2.2</w:t>
      </w:r>
    </w:p>
    <w:p>
      <w:r>
        <w:t>Selon l' art. 21 CP ,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 ATF 129 IV 6 consid. 4.1 p. 18 et les références citées). L'erreur sur l'illicéité ne saurait être admise lorsque l'auteur doutait lui-même ou aurait dû douter de l'illicéité de son comportement ( ATF 121 IV 109 consid. 5b) ou lorsqu'il savait qu'une réglementation juridique existe, mais qu'il a négligé de s'informer suffisamment à ce sujet ( ATF 120 IV 208 consid. 5b).</w:t>
      </w:r>
    </w:p>
    <w:p>
      <w:r>
        <w:rPr>
          <w:b/>
        </w:rPr>
        <w:t>E. 2.3</w:t>
      </w:r>
    </w:p>
    <w:p>
      <w:r>
        <w:t>En l'espèce, comme le relève le recourant, la référence faite par la cour cantonale à l' art. 47 OCStup est sans pertinence, la prescription du médecin traitant et le comportement reproché au recourant étant antérieurs à cette réglementation. Cet aspect n'est toutefois pas déterminant pour juger de l'application de l' art. 21 CP . Compte tenu de la décision judiciaire du 18 février 2002, qui indiquait expressément que le haschich n'était pas couvert par la prescription du médecin, les autorités précédentes ont retenu que le recourant avait agi avec conscience et volonté. Autrement dit, il ne pouvait pas se croire en droit d'agir. Le recourant ne formule aucun grief recevable au regard de l' art. 106 al. 2 LTF contre le fait ainsi retenu en instance cantonale et qui lie donc le Tribunal fédéral. Il ne formule pas non plus de critique recevable contre la constatation de la cour cantonale selon laquelle le haschich diffère des fleurs de cannabis car c'est une substance plus forte. Dans ces conditions, c'est à juste titre que la cour cantonale a exclu l'application de l' art. 21 CP . La condamnation en vertu de l' art. 19a LStup ne viole pas le droit fédéral.</w:t>
      </w:r>
    </w:p>
    <w:p>
      <w:r>
        <w:rPr>
          <w:b/>
        </w:rPr>
        <w:t>E. 3</w:t>
      </w:r>
    </w:p>
    <w:p>
      <w:r>
        <w:t>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