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701/2012 vom 11. März 2013</w:t>
      </w:r>
    </w:p>
    <w:p>
      <w:r>
        <w:t>Bundesgericht, 2013-03-11, DE</w:t>
      </w:r>
    </w:p>
    <w:p>
      <w:r>
        <w:rPr>
          <w:b/>
        </w:rPr>
        <w:t xml:space="preserve">Quelle: </w:t>
      </w:r>
      <w:r>
        <w:t>https://mcp.opencaselaw.ch/entscheid/bger_6B_701_2012</w:t>
      </w:r>
    </w:p>
    <w:p>
      <w:r>
        <w:t>FR: TF 6B 701/2012 du 11 mars 2013</w:t>
      </w:r>
    </w:p>
    <w:p>
      <w:r>
        <w:t>IT: TF 6B 701/2012 del 11 marzo 2013</w:t>
      </w:r>
    </w:p>
    <w:p>
      <w:pPr>
        <w:pStyle w:val="Heading2"/>
      </w:pPr>
      <w:r>
        <w:t>Regeste</w:t>
      </w:r>
    </w:p>
    <w:p>
      <w:r>
        <w:t>Qualifizierte Widerhandlung gegen das Betäubungsmittelgesetz etc.; Willkür, Grundsatz in dubio pro reo etc. | Straftaten</w:t>
      </w:r>
    </w:p>
    <w:p>
      <w:pPr>
        <w:pStyle w:val="Heading2"/>
      </w:pPr>
      <w:r>
        <w:t>Erwägungen</w:t>
      </w:r>
    </w:p>
    <w:p>
      <w:r>
        <w:rPr>
          <w:b/>
        </w:rPr>
        <w:t>E. 1.1</w:t>
      </w:r>
    </w:p>
    <w:p>
      <w:r>
        <w:t>Der Beschwerdeführer rügt eine willkürliche Sachverhaltsfeststellung. Nicht nachgewiesen sei, dass sich Drogen im transportierten Koffer befunden hätten, geschweige denn in welcher Menge. Selbst wenn davon auszugehen wäre, habe er dies nicht wissen müssen, da A.A.________ ihm gegenüber stets angegeben habe, der Koffer enthalte Kleider. Nicht rechtsgenügend erstellt sei zudem, dass es sich bei den Fr. 40'000.-- im Couvert um deliktische Gelder handelte. Ihm könne auch nicht vorgeworfen werden, er habe um die behauptete deliktische Herkunft gewusst.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Dem Grundsatz in dubio pro reo kommt in der vom Beschwerdeführer angerufenen Funktion als Beweiswürdigungsregel im Verfahren vor dem Bundesgericht keine über das Willkürverbot von Art. 9 BV hinausgehende Bedeutung zu ( BGE 127 I 38 E. 2a; 124 IV 86 E. 2a; je mit Hinweisen).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Die Vorinstanz durfte willkürfrei auf die Angaben von B.A.________ abstellen, wonach sich im Koffer Kokain befand. Dabei geht sie zugunsten des Beschwerdeführers und entgegen den ersten Aussagen von B.A.________ nicht von 4 bis 5 Kilogramm Kokaingemisch, sondern lediglich von einer Drogenmenge von 600 Gramm aus (Urteil S. 7 ff.). Letzterer belastete sich mit seinem Geständnis auch selbst, was für die Glaubhaftigkeit seiner Angaben spricht. Die Vorinstanz setzt sich eingehend mit dem Verhältnis des Beschwerdeführers zu A.A.________ auseinander und zeigt auf, dass diesem bekannt war, dass jene im Drogenhandel tätig war (Urteil S. 10 ff.). Sie legt weiter dar, dass sich der Beschwerdeführer in Widersprüchen verstrickte (Urteil S. 8 f. und 11) und seine konstruiert wirkende Erklärung bezüglich der angeblichen Herkunft der Fr. 40'000.-- als unglaubhafte Schutzbehauptung zu qualifizieren ist (Urteil S. 12 ff.). Die Beweiswürdigung der Vorinstanz ist nicht willkürlich. Die Einwände des Beschwerdeführers erschöpfen sich in einer unzulässigen appellatorischen Kritik. Inwiefern die vorinstanzliche Sachverhaltsfeststellung an einem offensichtlichen und schweren Mangel leiden könnte, vermag er nicht darzutun.</w:t>
      </w:r>
    </w:p>
    <w:p>
      <w:r>
        <w:rPr>
          <w:b/>
        </w:rPr>
        <w:t>E. 2.1</w:t>
      </w:r>
    </w:p>
    <w:p>
      <w:r>
        <w:t>Bezüglich des Schuldspruchs wegen Betrugs rügt der Beschwerdeführer, die Vorinstanz gehe willkürlich davon aus, er habe sich im November und Dezember 2007 in London aufgehalten. Er habe sich offensichtlich geirrt, als er anlässlich der Einvernahme vom 2. September 2008 ausgesagt habe, er sei bis Anfang 2008 in London wohnhaft gewesen. Nicht ersichtlich sei, weshalb er während seiner Ferienabwesenheit in seinem Heimatland Nigeria im Frühling 2008 keinen Anspruch auf Unterstützungsleistungen gehabt haben soll. Aus der Pflicht, Veränderungen in den Vermögensverhältnissen zu melden, könne nicht abgeleitet werden, auch eine ferienbedingte Abwesenheit sei meldepflichtig. Die Vorinstanz lege nicht dar, gestützt auf welche Grundlage und in welchem Umfang die Leistungen bei einer Meldung der Ferienabwesenheit gekürzt worden wären. Sie habe es in Verletzung von Art. 146 Abs. 1 StGB und Art. 9 BV versäumt, den konkreten Schaden zu berechnen. Die Verurteilung erfolge lapidar für einen Deliktsbetrag "in der Höhe von mindestens einiger Tausend Franken." Die Höhe des Schadens sei für die Regelung allfälliger Zivilforderungen und nicht zuletzt für die Bestimmung des Strafmasses von Bedeutung.</w:t>
      </w:r>
    </w:p>
    <w:p>
      <w:r>
        <w:rPr>
          <w:b/>
        </w:rPr>
        <w:t>E. 2.2</w:t>
      </w:r>
    </w:p>
    <w:p>
      <w:r>
        <w:t>Soweit sich der Beschwerdeführer gegen die vorinstanzliche Feststellung wendet, er habe sich im November und Dezember 2007 nach wie vor im Ausland aufgehalten, und zahlreiche Umstände vorbringt, welche für eine Anwesenheit in Zürich sprechen sollen, ist auf die Beschwerde mangels Ausschöpfung des kantonalen Instanzenzugs nicht einzutreten ( Art. 80 Abs. 1 BGG ; BGE 135 I 91 E. 2.1). Die Vorinstanz verweist auf das Urteil des Bezirksgerichts, da der Beschwerdeführer die erstinstanzlich festgestellten Auslandaufenthalte im Berufungsverfahren nicht substanziiert bestritten habe (Urteil S. 19 f.). Der Beschwerdeführer beanstandet dies nicht. Er behauptet nicht, bereits die Vorinstanz hätte sich mit den nunmehr vor Bundesgericht vorgebrachten Einwänden auseinandersetzen müssen.</w:t>
      </w:r>
    </w:p>
    <w:p>
      <w:r>
        <w:rPr>
          <w:b/>
        </w:rPr>
        <w:t>E. 2.3</w:t>
      </w:r>
    </w:p>
    <w:p>
      <w:r>
        <w:t>Für die Ausrichtung von Sozialhilfeleistungen gilt kantonales Recht ( BGE 138 V 310 E. 2.2). Das Bundesgericht überprüft die Auslegung und Anwendung kantonalen Rechts - von hier nicht relevanten Ausnahmen abgesehen - nur unter dem beschränkten Gesichtswinkel der Willkür (vgl. Art. 95 BGG ; BGE 138 IV 13 E. 2). Für die Rüge der Willkür gelten erhöhte Begründungsanforderungen ( Art. 106 Abs. 2 BGG ; oben E. 1.2). Die Rüge des Beschwerdeführers genügt diesen Anforderungen nicht. Auf die sinngemässen Einwände, er habe auch während der Aufenthalte in London und Nigeria Anspruch auf die gleichen Sozialhilfeleistungen gehabt, und er sei nicht verpflichtet gewesen, das Sozialamt über seine Auslandabwesenheit aufzuklären, ist nicht einzutreten, da der Beschwerdeführer nicht dartut, die Vorinstanz habe das kantonale Sozialhilferecht willkürlich angewandt.</w:t>
      </w:r>
    </w:p>
    <w:p>
      <w:r>
        <w:rPr>
          <w:b/>
        </w:rPr>
        <w:t>E. 2.4</w:t>
      </w:r>
    </w:p>
    <w:p>
      <w:r>
        <w:t>Die Vorinstanz musste den exakten Schaden der Sozialen Dienste Zürich nicht zwingend beziffern. Insoweit geht es um öffentlich-rechtliche Forderungen, wobei die zuständige Behörde darüber zu befinden hat, ob und in welchem Umfang Rückerstattungsansprüche gegenüber dem Beschwerdeführer für unrechtmässig bezogene Leistungen geltend gemacht werden. Die Schadenhöhe ist jedoch für die Strafzumessung von Relevanz. Hierfür können die vorinstanzlichen Feststellungen noch als ausreichend präzise gelten. Der Beschwerdeführer bezog im November und Dezember 2007 Sozialhilfe von Fr. 3'913.20 und im Mai 2008 über Fr. 2'398.60 (vgl. erstinstanzliches Urteil S. 29). Die Vorinstanz geht davon aus, er habe auf diese Beträge keinen oder höchstens einen reduzierten Anspruch gehabt, was einen Schaden von "mindestens einigen Tausend Franken" ergibt (Urteil S. 20). Damit wird der Schaden genügend substanziiert.</w:t>
      </w:r>
    </w:p>
    <w:p>
      <w:r>
        <w:rPr>
          <w:b/>
        </w:rPr>
        <w:t>E. 3</w:t>
      </w:r>
    </w:p>
    <w:p>
      <w:r>
        <w:t>Die Strafzumessung ficht der Beschwerdeführer ausschliesslich mit der Begründung an, die Strafe hätte im Vergleich zur erstinstanzlich ausgesprochenen Sanktion deutlich tiefer ausfallen müssen, da das Bezirksgericht von einer grösseren Drogenmenge und hinsichtlich des Sozialhilfebetrugs von einem höheren Deliktsbetrag ausgegangen sei (Beschwerde S. 34). 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Die Vorinstanz nahm eine eigene Strafzumessung vor. Sie war nicht verpflichtet, die erstinstanzlich ausgesprochene Strafe zu reduzieren, sondern hatte lediglich das Verschlechterungsverbot ( Art. 391 Abs. 2 StPO ) zu beachten. Auf die Rüge des Beschwerdeführers ist nicht weiter einzugehen, da er nicht geltend macht, die Vorinstanz habe das ihr zustehende Ermessen überschritten oder sie sei von falschen Strafzumessungsgrundsätzen ausgegangen.</w:t>
      </w:r>
    </w:p>
    <w:p>
      <w:r>
        <w:rPr>
          <w:b/>
        </w:rPr>
        <w:t>E. 4</w:t>
      </w:r>
    </w:p>
    <w:p>
      <w:r>
        <w:t>Auf das Entschädigungsbegehren ist nicht einzutreten, da der Beschwerdeführer dieses ausschliesslich mit den beantragten Freisprüchen begründet.</w:t>
      </w:r>
    </w:p>
    <w:p>
      <w:r>
        <w:rPr>
          <w:b/>
        </w:rPr>
        <w:t>E. 5</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