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6B_700/2019 vom 8. Juli 2019</w:t>
      </w:r>
    </w:p>
    <w:p>
      <w:r>
        <w:t>Bundesgericht, 2019-07-08, FR</w:t>
      </w:r>
    </w:p>
    <w:p>
      <w:r>
        <w:rPr>
          <w:b/>
        </w:rPr>
        <w:t xml:space="preserve">Quelle: </w:t>
      </w:r>
      <w:r>
        <w:t>https://mcp.opencaselaw.ch/entscheid/bger_6B_700_2019</w:t>
      </w:r>
    </w:p>
    <w:p>
      <w:r>
        <w:t>FR: TF 6B_700/2019 du 8 juillet 2019</w:t>
      </w:r>
    </w:p>
    <w:p>
      <w:r>
        <w:t>IT: TF 6B_700/2019 del 8 luglio 2019</w:t>
      </w:r>
    </w:p>
    <w:p>
      <w:pPr>
        <w:pStyle w:val="Heading2"/>
      </w:pPr>
      <w:r>
        <w:t>Erwägungen</w:t>
      </w:r>
    </w:p>
    <w:p>
      <w:r>
        <w:rPr>
          <w:b/>
        </w:rPr>
        <w:t>E. 1</w:t>
      </w:r>
    </w:p>
    <w:p>
      <w:r>
        <w:t>Par arrêt du 21 mai 2019, la Chambre pénale de recours de la Cour de justice de la République et canton de Genève a rejeté le recours formé par X.________ contre l'ordonnance de non-entrée en matière rendue le 11 février 2019 par le Ministère public genevois à la suite de la plainte formée par la prénommée contre A.________ et B.________ pour utilisation abusive d'une installation de télécommunication, respectivement complicité de cette infraction.</w:t>
      </w:r>
    </w:p>
    <w:p>
      <w:r>
        <w:t>X.________ forme un recours au Tribunal fédéral contre l'arrêt précité. Elle conclut à l'admission de son recours, à ce que " l'aveuglement du Ministère public à ne pas prendre en compte des faits graves constitutifs d'infractions commis par A.________ et B.________ soit reconnu " et à ce qu' "en conséquence le Ministère public de Genève soit dessaisi du dossier pénal pendant afin que la procédure pénale soit instruite par le Ministère public vaudois, lieu d'habitation de X.________ depuis 5 ans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La recourante ne consacre aucun développement à un éventuel tort moral ou dommage, ni sur leur principe ni sur leur quotité.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3</w:t>
      </w:r>
    </w:p>
    <w:p>
      <w:r>
        <w:t>Sur le vu de ce qui précède, le recours doit être déclaré irrecevable selon la procédure simplifiée prévue par l' art. 108 al. 1 let. a et b LTF . La recourante,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