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6B_6/2021 vom 26. Oktober 2022</w:t>
      </w:r>
    </w:p>
    <w:p>
      <w:r>
        <w:t>Bundesgericht, 2022-10-26, DE</w:t>
      </w:r>
    </w:p>
    <w:p>
      <w:r>
        <w:rPr>
          <w:b/>
        </w:rPr>
        <w:t xml:space="preserve">Quelle: </w:t>
      </w:r>
      <w:r>
        <w:t>https://mcp.opencaselaw.ch/entscheid/bger_6B_6_2021</w:t>
      </w:r>
    </w:p>
    <w:p>
      <w:r>
        <w:t>FR: TF 6B_6/2021 du 26 octobre 2022</w:t>
      </w:r>
    </w:p>
    <w:p>
      <w:r>
        <w:t>IT: TF 6B_6/2021 del 26 ottobre 2022</w:t>
      </w:r>
    </w:p>
    <w:p>
      <w:pPr>
        <w:pStyle w:val="Heading2"/>
      </w:pPr>
      <w:r>
        <w:t>Erwägungen</w:t>
      </w:r>
    </w:p>
    <w:p>
      <w:r>
        <w:rPr>
          <w:b/>
        </w:rPr>
        <w:t>E. 1.1</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BGG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Als solche gelten Ansprüche, die ihren Grund im Zivilrecht haben und deshalb ordentlicherweise vor dem Zivilgericht durchgesetzt werden müssen. In erster Linie handelt es sich um Ansprüche auf Schadenersatz und Genugtuung nach Art. 41 ff. OR .</w:t>
      </w:r>
    </w:p>
    <w:p>
      <w:r>
        <w:rPr>
          <w:b/>
        </w:rPr>
        <w:t>E. 1.2</w:t>
      </w:r>
    </w:p>
    <w:p>
      <w:r>
        <w:t>Richtet sich die Beschwerde gegen die Nichtanhandnahme eines Verfahrens, muss die geschädigte Person, soweit sie vor den kantonalen Behörden noch keine Zivilforderung erhoben hat, im Verfahren vor Bundesgericht darlegen, aus welchen Gründen sich der angefochtene Entscheid inwiefern auf welche Zivilforderungen auswirken kann. Weil der staatliche Strafanspruch von der Staatsanwaltschaft vertreten wird (Urteile 6B_902/2021 vom 25. August 2022 E. 3.2; 6B_1039/2020 vom 20. April 2021 E. 1.4; 6B_8/2021 vom 11. März 2021 E. 2.1), stellt das Bundesgericht an die Begründung der Legitimation strenge Anforderungen. Entsprechend ist - namentlich bei komplexen Fällen, in denen allfällige Zivilansprüche nicht offensichtlich sind - einleitend und in gedrängter Form darzulegen, inwiefern die Eintretensvoraussetzungen erfüllt sind. Genügt die Beschwerde diesen strengen Begründungsanforderungen nicht, tritt das Bundesgericht nur auf sie ein, wenn aufgrund der Natur der in Frage stehenden Straftat ohne Weiteres ersichtlich ist, um welche Zivilforderung es geht ( BGE 141 IV 1 E. 1.1; 137 IV 246 E. 1.3.1).</w:t>
      </w:r>
    </w:p>
    <w:p>
      <w:r>
        <w:rPr>
          <w:b/>
        </w:rPr>
        <w:t>E. 1.3.1</w:t>
      </w:r>
    </w:p>
    <w:p>
      <w:r>
        <w:t>Die Beschwerdeführerin hat am 5. Februar 2020 mit Strafantrag an die Staatsanwaltschaft Brugg-Zurzach die Bestrafung von B.A.________ (Beschwerdegegner 2) wegen übler Nachrede nach Art. 173 StGB , eventualiter Verleumdung nach Art. 174 StGB und subeventualiter Beschimpfung nach Art. 177 StGB beantragt. Eine Zivilforderung hat sie im Strafantrag nicht gestellt. In der Folge hatte sie keine Möglichkeit eine solche zu stellen, da die Staatsanwaltschaft Brugg-Zurzach am 24. Februar 2020 eine Nichtanhandnahmeverfügung erlassen hat, ohne dass die Beschwerdeführerin sich zuvor äussern konnte.</w:t>
      </w:r>
    </w:p>
    <w:p>
      <w:r>
        <w:rPr>
          <w:b/>
        </w:rPr>
        <w:t>E. 1.3.2</w:t>
      </w:r>
    </w:p>
    <w:p>
      <w:r>
        <w:t>In ihrer Beschwerde geht die Beschwerdeführerin nicht auf die zentrale Eintretensvoraussetzung, das Bestehen einer Zivilforderung gegen den Beschuldigten, ein. Einzig im Kontext der abschliessenden Begründung ihres Gesuchs um unentgeltliche Rechtspflege erwähnt sie knapp, die Ehrverletzungen durch den Beschuldigten seien massiv gewesen und würden "zweifellos" die Zusprechung einer Genugtuung rechtfertigen.</w:t>
      </w:r>
    </w:p>
    <w:p>
      <w:r>
        <w:rPr>
          <w:b/>
        </w:rPr>
        <w:t>E. 1.3.3</w:t>
      </w:r>
    </w:p>
    <w:p>
      <w:r>
        <w:t>Nach Art. 49 OR ist eine Genugtuung nur geschuldet, sofern die Schwere der Verletzung dies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vorliegend die angebliche Persönlichkeitsverletzung objektiv und subjektiv schwer wiegt (vgl. Urteile 6B_515/2021 vom 2. November 2021 E. 1.1; 6B_880/2020 vom 1. Februar 2021 E. 1.3), ist weder dargelegt noch ist dies leichthin ersichtlich. Die Sachlegitimation ist demnach zu verneinen. Auf die Beschwerde kann in der Sache nicht eingetreten werden.</w:t>
      </w:r>
    </w:p>
    <w:p>
      <w:r>
        <w:rPr>
          <w:b/>
        </w:rPr>
        <w:t>E. 1.4</w:t>
      </w:r>
    </w:p>
    <w:p>
      <w:r>
        <w:t>Ungeachtet der fehlenden Legitimation in der Sache kann vor Bundesgericht gerügt werden, im kantonalen Verfahren seien Parteirechte verletzt worden ("Star-Praxis"; BGE 141 IV 1 E. 1.1). Zulässig sind Rügen, die formeller Natur sind und von der Prüfung der Sache getrennt werden können; unzulässig sind daher Rügen, die im Ergebnis (d.h. indirekt) auf eine materielle Überprüfung des angefochtenen Entscheids abzielen ( BGE 146 IV 76 E. 2). Die in der Sache selbst nicht beschwerdelegitimierte Privatklägerschaft kann eine Verletzung von Verfahrensrechten geltend machen, wenn diese auf eine formelle Rechtsverweigerung hinausläuft. Diesbezüglich ergibt sich das nach Art. 81 Abs. 1 lit. b BGG erforderliche rechtlich geschützte Interesse aus dem Recht auf Verfahrensteilnahme ( BGE 141 IV 1 E. 1.1). Zulässig sind Rügen formeller Natur nur, wenn sie von der Prüfung der Sache getrennt werden können. Der in der Sache nicht legitimierte Beschwerdeführer kann deshalb weder die vorinstanzliche Beweiswürdigung kritisieren noch kann er vorbringen, die Begründung sei materiell unzutreffend ( BGE 141 IV 1 E. 1.1; 138 IV 78 E. 1.3; Urteil 6B_574/2022 vom 15. Juni 2022 E. 3.1).</w:t>
      </w:r>
    </w:p>
    <w:p>
      <w:r>
        <w:rPr>
          <w:b/>
        </w:rPr>
        <w:t>E. 1.5.1</w:t>
      </w:r>
    </w:p>
    <w:p>
      <w:r>
        <w:t>Die Beschwerdeführerin rügt die Verletzung ihres Anspruchs auf unentgeltliche Rechtspflege. Zu den massgebenden Verfahrensgarantien der "Star-Praxis", deren Missachtung auf eine formelle Rechtsverweigerung hinauslaufen kann, gehört auch der Anspruch auf unentgeltliche Rechtspflege ( Art. 29 Abs. 3 BV und Art. 136 StPO ). Die Beschwerdeführerin ist daher zur Rüge zugelassen, die Vorinstanz habe ihr die unentgeltliche Rechtspflege zu Unrecht verweigert (vgl. BGE 137 II 305 E. 4.1; Urteil 6B_1039/2017 vom 13. März 2018 E. 1.2.2 mit Hinweisen).</w:t>
      </w:r>
    </w:p>
    <w:p>
      <w:r>
        <w:rPr>
          <w:b/>
        </w:rPr>
        <w:t>E. 1.5.2</w:t>
      </w:r>
    </w:p>
    <w:p>
      <w:r>
        <w:t>Eine unentgeltliche Rechtsvertretung wird nur bestellt, wenn die Zivilklage der Privatklägerschaft nicht aussichtslos erscheint ( Art. 136 Abs. 1 lit. b StPO ; vgl. Urteil 6B_207/2021 vom 31. Mai 2021 E. 5 mit Hinweis). Die Vorinstanz verneint diese Voraussetzung in Bezug auf die Beschwerdeführerin, da sie keine Zivilansprüche geltend gemacht, sondern einzig die Bestrafung der beanzeigten Person verlangt hat. Dieser Schluss steht im Einklang mit der bundesgerichtlichen Rechtsprechung (vgl. Urteile 6B_607/2022 vom 8. September 2022 E. 5.3; 6B_1229/2021 vom 17. Januar 2022 E. 6.3.4; 1B_518/2021 vom 23. November 2021 E. 3.1; je mit Hinweisen) und die Beschwerdeführerin bringt nichts vor, was denselben als unrichtig erscheinen liesse. Wenngleich von der Beschwerdeführerin nicht verlangt werden darf, schon vor der Staatsanwaltschaft ihre Zivilforderung gestellt haben zu müssen, wäre sie gehalten gewesen, jedenfalls im vorinstanzlichen Verfahren mit Blick auf ihr Gesuch um unentgeltliche Rechtspflege ihre angeblichen Zivilansprüche darzulegen. Im vorinstanzlichen Verfahren unterliess sie dies jedoch ebenso wie im vorliegenden (siehe E. 1.3 oben).</w:t>
      </w:r>
    </w:p>
    <w:p>
      <w:r>
        <w:t>Im Übrigen liegt keine Konstellation vor, in welcher der Beschwerdeführerin ausnahmsweise direkt gestützt auf Art. 29 Abs. 3 BV die unentgeltliche Rechtspflege gewährt werden kann, handelt es sich bei dieser doch nicht um ein mutmassliches Opfer unzulässiger staatlicher Gewalt (vgl. 1B_518/2021 vom 23. November 2021 E. 3.1 mit Hinweisen; Urteile 1B_533/2019 vom 4. März 2020 E. 3.6; 1B_355/2012 vom 12. Oktober 2012 E. 5).</w:t>
      </w:r>
    </w:p>
    <w:p>
      <w:r>
        <w:rPr>
          <w:b/>
        </w:rPr>
        <w:t>E. 1.5.3</w:t>
      </w:r>
    </w:p>
    <w:p>
      <w:r>
        <w:t>Die Vorinstanz verletzt zusammenfassend kein Bundesrecht, wenn sie den Anspruch der Beschwerdeführerin auf unentgeltliche Rechtspflege verneint.</w:t>
      </w:r>
    </w:p>
    <w:p>
      <w:r>
        <w:rPr>
          <w:b/>
        </w:rPr>
        <w:t>E. 2</w:t>
      </w:r>
    </w:p>
    <w:p>
      <w:r>
        <w:t>Die Beschwerde ist abzuweisen, soweit darauf eingetreten werden kann. Der Beschwerdeführerin sind die Kosten aufzuerlegen ( Art. 66 Abs. 1 BGG ). Das Gesuch um unentgeltliche Rechtspflege ist infolge Aussichtslosigkeit der Beschwerde abzuweisen ( Art. 64 Abs. 1 BGG ).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