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6/2020 vom 15. Januar 2020</w:t>
      </w:r>
    </w:p>
    <w:p>
      <w:r>
        <w:t>Bundesgericht, 2020-01-15, FR</w:t>
      </w:r>
    </w:p>
    <w:p>
      <w:r>
        <w:rPr>
          <w:b/>
        </w:rPr>
        <w:t xml:space="preserve">Quelle: </w:t>
      </w:r>
      <w:r>
        <w:t>https://mcp.opencaselaw.ch/entscheid/bger_6B_6_2020</w:t>
      </w:r>
    </w:p>
    <w:p>
      <w:r>
        <w:t>FR: TF 6B 6/2020 du 15 janvier 2020</w:t>
      </w:r>
    </w:p>
    <w:p>
      <w:r>
        <w:t>IT: TF 6B 6/2020 del 15 gennaio 2020</w:t>
      </w:r>
    </w:p>
    <w:p>
      <w:pPr>
        <w:pStyle w:val="Heading2"/>
      </w:pPr>
      <w:r>
        <w:t>Regeste</w:t>
      </w:r>
    </w:p>
    <w:p>
      <w:r>
        <w:t>Infraction grave à la LStup; expulsion; irrecevabilité formelle du recours en matière pénale | Infractions</w:t>
      </w:r>
    </w:p>
    <w:p>
      <w:pPr>
        <w:pStyle w:val="Heading2"/>
      </w:pPr>
      <w:r>
        <w:t>Erwägungen</w:t>
      </w:r>
    </w:p>
    <w:p>
      <w:r>
        <w:rPr>
          <w:b/>
        </w:rPr>
        <w:t>E. 1</w:t>
      </w:r>
    </w:p>
    <w:p>
      <w:r>
        <w:t>Par jugement du 2 avril 2019, le Tribunal correctionnel de la République et canton de Genève a notamment condamné A.________ pour infraction grave à la LStup, entrée illégale et séjour illégal, à une peine privative de liberté de 4 ans sous déduction de 548 jours de détention avant jugement, a révoqué le sursis accordé le 22 janvier 2014 à la peine pécuniaire de 120 jours-amende à 30 fr. le jour et a ordonné son expulsion de Suisse. Par arrêt du 14 novembre 2019, la Chambre pénale d'appel et de révision de la Cour de justice de la République et canton de Genève a déclaré irrecevable les conclusions de A.________ tendant à contester sa culpabilité en relation avec différents points de l'acte d'accusation et rejeté son appel pour le surplus. Par écriture datée du 19 décembre, postée le 20 décembre 2019, A.________ forme un recours au Tribunal fédéral. Par courrier daté du 6 janvier, posté le 7 janvier 2020, il requiert l'octroi de l'assistance judiciaire et la désignation d'un avocat d'office. Il a en outre complété son recours par écrit daté du 7 janvier 2020, posté le 9 janvier 2020.</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18 décembre au 2 janvier inclus ( art. 46 al. 1 let . c LTF). Le délai est observé si le mémoire est remis à La Poste Suisse le dernier jour du délai ( art. 48 al. 1 LTF ). En l'espèce, la décision cantonale a été notifiée le 22 novembre 2019. Le délai a commencé à courir le 23 novembre 2019, a été suspendu entre le 18 décembre 2019 et le 2 janvier 2020, pour arriver à échéance le 7 janvier 2020. Déposé à La Poste Suisse le 9 janvier 2020, le complément au recours est irrecevable.</w:t>
      </w:r>
    </w:p>
    <w:p>
      <w:r>
        <w:rPr>
          <w:b/>
        </w:rPr>
        <w:t>E. 3</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89 et 115 consid. 2 p. 116; 134 II 244 consid. 2.1 p. 245 s.); en particulier, la motivation doit être topique, c'est-à-dire se rapporter à la question juridique tranchée par l'autorité cantonale ( ATF 123 V 335 ; parmi de nombreux autres: arrêt 6B_1450/2019 du 7 janvier 2020 consid. 2). Par ailleurs, le Tribunal fédéral est lié par les constatations de fait de la décision entreprise ( art. 105 al. 1 LTF ), sous les réserves découlant des art. 97 al. 1 et 105 al. 2 LTF, soit pour l'essentiel de l'arbitraire dans la constatation des faits (sur cette notion voir ATF 143 IV 241 consid. 2.3.1 p. 244; 141 I 49 consid. 3.4 p. 53 et les références citées).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Le recourant se contente de soutenir qu'il aurait indiqué à son défenseur d'office " les 19 points qu'il conteste " mais que celui-ci n'en aurait repris que quatre et que ce serait son stagiaire qui serait venu à l'audience d'appel. Pour le surplus, le recourant expose les différents faits qu'il conteste. En l'absence de conclusions et d'explications suffisantes, on ignore ce que le recourant entend tirer de ses affirmations. Plus particulièrement, il n'indique pas en quoi la décision attaquée violerait le droit, pas plus qu'il ne s'en prend à la déclaration d'irrecevabilité de la cour cantonale concernant une partie de ses conclusions. Tout au plus, comprend-on qu'il conteste sa condamnation sur les points relevés. A cet égard, ses développements s'épuisent en une discussion des faits, purement appellatoire et, partant, irrecevable au regard des exigences de motivation rappelées ci-dessus.</w:t>
      </w:r>
    </w:p>
    <w:p>
      <w:r>
        <w:rPr>
          <w:b/>
        </w:rPr>
        <w:t>E. 4</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du recourant.</w:t>
      </w:r>
    </w:p>
    <w:p>
      <w:r>
        <w:rPr>
          <w:b/>
        </w:rPr>
        <w:t>E. 5</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de justice,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