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6B_6/2008 vom 15. April 2008</w:t>
      </w:r>
    </w:p>
    <w:p>
      <w:r>
        <w:t>Bundesgericht, 2008-04-15, DE</w:t>
      </w:r>
    </w:p>
    <w:p>
      <w:r>
        <w:rPr>
          <w:b/>
        </w:rPr>
        <w:t xml:space="preserve">Quelle: </w:t>
      </w:r>
      <w:r>
        <w:t>https://mcp.opencaselaw.ch/entscheid/bger_6B_6_2008</w:t>
      </w:r>
    </w:p>
    <w:p>
      <w:r>
        <w:t>FR: TF 6B_6/2008 du 15 avril 2008</w:t>
      </w:r>
    </w:p>
    <w:p>
      <w:r>
        <w:t>IT: TF 6B_6/2008 del 15 aprile 2008</w:t>
      </w:r>
    </w:p>
    <w:p>
      <w:pPr>
        <w:pStyle w:val="Heading2"/>
      </w:pPr>
      <w:r>
        <w:t>Erwägungen</w:t>
      </w:r>
    </w:p>
    <w:p>
      <w:r>
        <w:rPr>
          <w:b/>
        </w:rPr>
        <w:t>E. 1</w:t>
      </w:r>
    </w:p>
    <w:p>
      <w:r>
        <w:t>Der Beschwerdeführer rügt eine Verletzung von Art. 43, 47 und 50 StGB . Die Vorinstanz habe die Aufteilung der Freiheitsstrafe "äusserst schwammig" begründet und andere Aufteilungsmöglichkeiten gar nicht erst erwogen. Sie habe festgehalten, dass ihn die 304 Tage Untersuchungshaft beeindruckt hatten, und damit festgestellt, dass die Untersuchungshaft Denkzettel genug gewesen sei. Sie hätte die Strafe so aufteilen müssen, dass er keine Strafe mehr abzusitzen gehabt hätte. Nach seinem Hauptantrag wären die vollziehbaren 10 Monate Freiheitsstrafe mit den 304 Hafttagen zu verrechnen gewesen. Werde der unbedingte Teil hingegen auf 18 Monate festgesetzt, so werde er aus dem Arbeitsprozess herausgerissen. Dem habe die Vorinstanz keine Bedeutung beigemessen. Sie habe der Wirkung der Strafe auf sein Leben keine Rechnung getragen und damit Art. 47 StGB verletzt.</w:t>
      </w:r>
    </w:p>
    <w:p>
      <w:r>
        <w:rPr>
          <w:b/>
        </w:rPr>
        <w:t>E. 2</w:t>
      </w:r>
    </w:p>
    <w:p>
      <w:r>
        <w:t>Die Vorinstanz setzt sich mit dem teilbedingten Strafvollzug und einer entsprechenden Aufteilung der Freiheitsstrafe auseinander (angefochtenes Urteil S. 54 ff.). Der Beschwerdeführer weise eine zwar einschlägige, aber eher geringfügige Vorstrafe auf. Die 304 Tage in Untersuchungshaft hätten ihn insoweit beeindruckt, dass er nachher - abgesehen von einer Strassenverkehrsbusse - nicht mehr straffällig geworden sei. Das spreche für das Fehlen einer ungünstigen Prognose. Er verfüge über eine feste Anstellung und betreibe Schuldensanierung. Das lasse auf ein künftiges Wohlverhalten hoffen. Insgesamt könne ihm - unter Berücksichtigung, dass ein Teil der Strafe zu vollziehen sei - noch eine günstige Prognose gestellt werden.</w:t>
      </w:r>
    </w:p>
    <w:p>
      <w:r>
        <w:t>Das sehr erhebliche, aber noch nicht schwerwiegende Verschulden stehe einer teilbedingten Strafe nicht grundsätzlich entgegen. Allerdings erscheine es aufgrund der gesamten Umstände und des Verschuldens sowie unter dem Aspekt einer zusätzlichen Warnwirkung gerechtfertigt und angemessen, 18 Monate der Strafe zu vollziehen und die restlichen 18 Monate aufzuschieben.</w:t>
      </w:r>
    </w:p>
    <w:p>
      <w:r>
        <w:rPr>
          <w:b/>
        </w:rPr>
        <w:t>E. 3</w:t>
      </w:r>
    </w:p>
    <w:p>
      <w:r>
        <w:t>Das Gericht hat,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Festlegung im pflichtgemässen Ermessen des Gerichts. Als Bemessungsregel ist das "Verschulden" zu beachten, dem in genügender Weise Rechnung zu tragen ist ( Art. 43 Abs. 1 StGB ). Das Verhältnis des Strafteils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w:t>
      </w:r>
    </w:p>
    <w:p>
      <w:r>
        <w:t>Im Sinne dieser Rechtsprechung hat die Vorinstanz das Verschulden des Täters mit der Wahrscheinlichkeit der Legalbewährung gegeneinander abgewogen. Zu Recht qualifiziert sie das Verschulden als sehr erheblich. Wie der Beschwerdeführer zutreffend ausführt, weist sie zwar darauf hin, dass ihn die 304 Tage Untersuchungshaft beeindruckt haben. Sie nimmt aber an, dass eine zusätzliche Warnwirkung erforderlich ist. Sie war nicht gehalten, andere Aufteilungsmöglichkeiten weiter zu erwägen. Es genügt, wenn die getroffene Aufteilung bundesrechtskonform ist. Das ist hier der Fall. Richtig ist, dass gemäss Art. 47 Abs. 1 StGB bei der Festlegung der Strafe deren Wirkung auf das Leben des Täters zu berücksichtigen ist. Dass der Verurteilte durch die Verbüssung einer Freiheitsstrafe aus einem günstigen Umfeld herausgerissen wird, kann sich deshalb im einzelnen Fall nach wie vor strafmindernd auswirken und zur Folge haben, dass die auszufällende Strafe unter der schuldangemessenen Strafe liegt ( BGE 134 IV 17 E. 3.4). Der Richter hat bei der Strafzumessung angesichts der einschneidenden Konsequenzen des unbedingten Vollzugs den Umstand mitzuberücksichtigen,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mitumfasst, so hat sich der Richter die Frage zu stellen, ob eine Strafe, welche die Grenze nicht überschreitet, noch vertretbar ist ( BGE 134 IV 17 E. 3.5). Dies ist bei einem unbedingten Teil von 18 Monaten aber nicht der Fall, so dass die Vorinstanz kein Bundesrecht verletzt, wenn sei keine weiteren folgenorientierten Überlegungen anstellt. Es kann für den Betroffenen hart sein, aus seiner Arbeitstätigkeit herausgerissen zu werden. Das ist indessen eine Folge des Gesetzes.</w:t>
      </w:r>
    </w:p>
    <w:p>
      <w:r>
        <w:rPr>
          <w:b/>
        </w:rPr>
        <w:t>E. 4</w:t>
      </w:r>
    </w:p>
    <w:p>
      <w:r>
        <w:t>Die Beschwerde ist abzuweisen. Das Gesuch um unentgeltliche Rechtspflege und Verbeiständung ist abzuweisen, weil das Rechtsbegehren aussichtslos erschien ( Art. 64 Abs. 1 und 2 BGG ). Der Beschwerdeführer trägt die Kosten vor Bundesgericht ( Art. 66 Abs. 1 BGG ). Seinen finanziellen Verhältnissen ist mit herabgesetzten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