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6B_694/2019 vom 11. Juli 2019</w:t>
      </w:r>
    </w:p>
    <w:p>
      <w:r>
        <w:t>Bundesgericht, 2019-07-11, FR</w:t>
      </w:r>
    </w:p>
    <w:p>
      <w:r>
        <w:rPr>
          <w:b/>
        </w:rPr>
        <w:t xml:space="preserve">Quelle: </w:t>
      </w:r>
      <w:r>
        <w:t>https://mcp.opencaselaw.ch/entscheid/bger_6B_694_2019</w:t>
      </w:r>
    </w:p>
    <w:p>
      <w:r>
        <w:t>FR: TF 6B_694/2019 du 11 juillet 2019</w:t>
      </w:r>
    </w:p>
    <w:p>
      <w:r>
        <w:t>IT: TF 6B_694/2019 del 11 luglio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1.1.2</w:t>
      </w:r>
    </w:p>
    <w:p>
      <w:r>
        <w:t>En l'espèce, le recourant expose pour chacune des infractions invoquées dans sa plainte les prétentions qu'il entend faire valoir contre les membres du Conseil communal ainsi que les employés communaux mis en cause.</w:t>
      </w:r>
    </w:p>
    <w:p>
      <w:r>
        <w:t>Il omet cependant de prendre en considération qu'aux termes de la loi fribourgeoise sur la responsabilité civile des collectivités publiques et de leurs agents (RS/FR 16.1), les collectivités publiques répondent du préjudice que leurs agents causent d'une manière illicite à autrui dans l'exercice de leurs fonctions (art. 6 al. 1), le lésé ne pouvant faire valoir aucune prétention contre l'agent (art. 6 al. 2). Le canton de Fribourg ayant ainsi fait usage de la faculté réservée à l' art. 61 al. 1 CO , le recourant ne disposerait, le cas échéant, que d'une prétention de droit public à faire valoir non pas contre les présumés auteurs contre lesquels il a dirigé sa dénonciation, mais contre la collectivité publique en cause, à savoir la Commune de A.________.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 arrêt 6B_605/2019 du 13 juin 2019 consid. 1.3).</w:t>
      </w:r>
    </w:p>
    <w:p>
      <w:r>
        <w:t>A défaut de prétentions civiles à raison des infractions dénoncées, le recourant ne dispose pas de la qualité pour recourir au regard de l'art. 81 al. 1 let. b ch. 5 LTF.</w:t>
      </w:r>
    </w:p>
    <w:p>
      <w:r>
        <w:rPr>
          <w:b/>
        </w:rPr>
        <w:t>E. 1.2</w:t>
      </w:r>
    </w:p>
    <w:p>
      <w:r>
        <w:t>L'hypothèse visée à l'art. 81 al. 1 let. b ch. 6 LTF n'entre pas en considération, le recourant ne soulevant aucun grief quant à son droit de porter plainte.</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Le recourant a ainsi la faculté de contester l'irrecevabilité de son recours cantonal en relation avec les infractions d'abus de confiance ( art. 138 CP ) et d'abus d'autorité ( art. 312 CP ), que la cour cantonale a justifiée au motif qu'il ne disposait pas de la qualité pour recourir au sens de l' art. 382 al. 1 CPP .</w:t>
      </w:r>
    </w:p>
    <w:p>
      <w:r>
        <w:rPr>
          <w:b/>
        </w:rPr>
        <w:t>E. 2.1</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Celui dont les intérêts privés ne sont atteints qu'indirectement par une infraction qui ne lèse que des intérêts publics n'est pas lésé au sens du droit de procédure pénale ( ATF 141 IV 454 consid. 2.3.1 p. 457). Pour être directement touché, le lésé doit en outre subir une atteinte en rapport de causalité directe avec l'infraction poursuivie, ce qui exclut les dommages par ricochet (arrêts 6B_1274/2018 du 22 janvier 2019 consid. 2.1; 6B_256/2018 du 13 août 2018 consid. 2.4.1; 6B_671/2014 du 22 décembre 2017 consid. 1.2).</w:t>
      </w:r>
    </w:p>
    <w:p>
      <w:r>
        <w:rPr>
          <w:b/>
        </w:rPr>
        <w:t>E. 2.2</w:t>
      </w:r>
    </w:p>
    <w:p>
      <w:r>
        <w:t>Le patrimoine constitue, de façon générale, le bien juridique protégé par l'infraction d'abus de confiance ( art. 138 CP ; MICHEL DUPUIS ET AL., Petit commentaire du Code pénal, 2e éd., 2017, n° 3 ad art. 138 CP ). S'agissant plus spécifiquement de l' art. 138 ch. 1 al. 2 CP , cette disposition tend à préserver le droit de celui qui a confié des valeurs patrimoniales à ce que celles-ci soient utilisées dans le but qu'il a assigné et conformément aux instructions qu'il a données ( ATF 129 IV 257 consid. 2.2.1 p. 259).</w:t>
      </w:r>
    </w:p>
    <w:p>
      <w:r>
        <w:t>En tant que le recourant soutient que les membres du Conseil communal pourraient s'être rendus coupables d'abus de confiance en consacrant indûment des deniers publics aux honoraires d'un avocat qui avait été mandaté par la Commune pour la rédaction d'une décision le concernant, il apparaît quoi qu'il en soit que les actes dénoncés n'ont pas été commis au préjudice du patrimoine du recourant, mais, tout au plus, à celui de la Commune en tant que collectivité publique. Sa qualité de contribuable de cette dernière ne saurait suppléer le fait que le recourant n'a pas été directement lésé par l'infraction dénoncée. Il n'y avait ainsi rien de critiquable à considérer qu'il ne disposait pas de la qualité pour recourir s'agissant de cette infraction.</w:t>
      </w:r>
    </w:p>
    <w:p>
      <w:r>
        <w:rPr>
          <w:b/>
        </w:rPr>
        <w:t>E. 2.3.1</w:t>
      </w:r>
    </w:p>
    <w:p>
      <w:r>
        <w:t>Aux termes de l' art. 312 CP ,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Cette norme protège tant l'intérêt de l'Etat à pouvoir compter sur des fonctionnaires fiables faisant un usage raisonné du pouvoir de puissance publique qui leur a été conféré que celui des citoyens à n'être pas en but à un exercice incontrôlé, arbitraire, du pouvoir ainsi confié ( ATF 127 IV 209 consid. 1b p. 212; arrêts 6B_1318/2017 du 9 février 2018 consid. 7.2.3; 6B_761/2016 du 16 mai 2017 consid. 3.4.2). Il appartient toutefois à celui qui entend déduire de la lésion d'un intérêt privé par une infraction à l' art. 312 CP d'alléguer les faits déterminants et d'exposer précisément en quoi consiste l'atteinte affirmée à un droit juridiquement protégé de nature privée, sous peine de se voir dénier la qualité pour recourir au sens de l' art. 382 al. 1 CPP (arrêt 6B_1318/2017 précité consid. 7.3).</w:t>
      </w:r>
    </w:p>
    <w:p>
      <w:r>
        <w:rPr>
          <w:b/>
        </w:rPr>
        <w:t>E. 2.3.2</w:t>
      </w:r>
    </w:p>
    <w:p>
      <w:r>
        <w:t>Les développements du recourant en relation avec l'infraction d'abus d'autorité (cf. mémoire de recours, p. 42-74) consistent en un descriptif des situations, pour lesquelles il estime avoir été victime depuis 2013 de décisions arbitraires et d'actions injustes de la part des membres de l'autorité exécutive communale et des employés communaux, qui sont toutes en lien avec des litiges relatifs à la construction de sa villa et aux relations conflictuelles entretenues avec ses voisins.</w:t>
      </w:r>
    </w:p>
    <w:p>
      <w:r>
        <w:t>Il apparaît toutefois que, pour l'essentiel, les actes dénoncés ont fait l'objet de procédures administratives en matière de droit public des constructions, lors desquelles ont été rendues des décisions motivées et susceptibles de faire l'objet de voies de droit prévues par la loi. Il en va ainsi de la décision communale portant sur l'abattage d'un arbre situé en bordure de route, de celle lui demandant un relevé de terrain aménagé dans le cadre de la procédure d'autorisation de construire une piscine ou encore du refus de la Commune de donner suite à une dénonciation du recourant quant à des constructions illégales qui auraient été construites par ses voisins ou quant au bruit occasionné par le tintement d'une cloche installée par sa voisine pour éloigner les oiseaux de ses cerisiers. Cela étant, il n'appartient pas au juge pénal d'examiner l'opportunité des verdicts rendus dans ce cadre ou de procéder à une nouvelle appréciation de leur bien-fondé. A lui seul, le fait que des décisions ont été rendues en défaveur du recourant ne suffit pas à rendre vraisemblable l'existence d'actes d'abus de pouvoir qui l'auraient atteint dans ses intérêts juridiquement protégés.</w:t>
      </w:r>
    </w:p>
    <w:p>
      <w:r>
        <w:t>Les autres actes dénoncés ne dénotent pas non plus un acharnement caractérisé à l'égard du recourant ou un exercice de la puissance publique qui puisse être qualifié d'incontrôlé ou d'arbitraire. Il n'apparaît ainsi pas que les intérêts privés du recourant puissent avoir été lésés par les exigences formulées, en 2013, puis en 2015, par des employés communaux tendant à ce que l'intéressé fasse évacuer du chantier de sa villa les engins qui empêchaient le passage des véhicules d'urgence ou encore pour qu'il appose sur sa propriété la plaquette portant le numéro d'assurance-incendie, s'agissant de démarches qui paraissent justifiées dans le cadre d'une construction. On ne distingue rien de plus dans le fait que son cabanon de jardin aurait été cadastré en 2016 dès la délivrance du permis de construire y relatif conformément à la législation cantonale, au contraire de celui de ses voisins, qui ne l'aurait été que trois ans après sa construction.</w:t>
      </w:r>
    </w:p>
    <w:p>
      <w:r>
        <w:t>Faute pour le recourant d'avoir suffisamment rendu vraisemblable que les actes d'abus d'autorité dénoncés avaient concrètement porté atteinte à des droits de nature privée, la cour cantonale pouvait considérer qu'il ne disposait pas d'un intérêt juridiquement protégé au sens de l' art. 382 al. 1 CPP .</w:t>
      </w:r>
    </w:p>
    <w:p>
      <w:r>
        <w:rPr>
          <w:b/>
        </w:rPr>
        <w:t>E. 3</w:t>
      </w:r>
    </w:p>
    <w:p>
      <w:r>
        <w:t>Pour le surplus, le recourant ne saurait conclure, à ce stade de la procédure, à l'extension de l'instruction à l'infraction de dénonciation calomnieuse ( art. 303 CP ), les faits dénoncés à cet égard n'ayant de surcroît pas fait l'objet de l'arrêt attaqué, pas plus que de l'ordonnance de non-entrée en matière ou des plaintes adressées au ministère public.</w:t>
      </w:r>
    </w:p>
    <w:p>
      <w:r>
        <w:rPr>
          <w:b/>
        </w:rPr>
        <w:t>E. 4</w:t>
      </w:r>
    </w:p>
    <w:p>
      <w:r>
        <w:t>Il s'ensuit que le recours doit être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