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6B_694/2018 vom 26. September 2018</w:t>
      </w:r>
    </w:p>
    <w:p>
      <w:r>
        <w:t>Bundesgericht, 2018-09-26, FR</w:t>
      </w:r>
    </w:p>
    <w:p>
      <w:r>
        <w:rPr>
          <w:b/>
        </w:rPr>
        <w:t xml:space="preserve">Quelle: </w:t>
      </w:r>
      <w:r>
        <w:t>https://mcp.opencaselaw.ch/entscheid/bger_6B_694_2018</w:t>
      </w:r>
    </w:p>
    <w:p>
      <w:r>
        <w:t>FR: TF 6B_694/2018 du 26 septembre 2018</w:t>
      </w:r>
    </w:p>
    <w:p>
      <w:r>
        <w:t>IT: TF 6B_694/2018 del 26 settembre 2018</w:t>
      </w:r>
    </w:p>
    <w:p>
      <w:pPr>
        <w:pStyle w:val="Heading2"/>
      </w:pPr>
      <w:r>
        <w:t>Erwägungen</w:t>
      </w:r>
    </w:p>
    <w:p>
      <w:r>
        <w:rPr>
          <w:b/>
        </w:rPr>
        <w:t>E. 1</w:t>
      </w:r>
    </w:p>
    <w:p>
      <w:r>
        <w:t>Par acte daté du 2 juillet 2018, adressé au Tribunal fédéral, se référant à une " demande en appel [...] 501 2017 218 " X.________ accuse réception de la " confirmation de [son] jugement par Monsieur le Ministère public ". Dans la suite, il expose les raisons de sa demande en appel en restituant, pour l'essentiel, sa version des circonstances qui ont conduit à sa condamnation par la Juge de police de la Broye, par jugement du 25 octobre 2017.</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recours ne contient aucune conclusion formelle et il ne permet pas de comprendre précisément sur quels points le recourant voudrait voir la décision de dernière instance cantonale modifiée. De surcroît, la discussion proposée quant aux faits ne répond manifestement pas aux exigences formelles rappelées ci-dessus. Exclusivement appellatoire, cet argumentaire n'est pas recevable. Il résulte de ce qui précède que, outre l'absence de conclusion, l'écriture datée du 2 juillet 2018 ne comporte aucune critique topique recevable à la forme, ce qui conduit à l'irrecevabilité du recours dans son entier, ce qu'il convient de constater dans la procédure prévue par l' art. 108 al. 1 let. a et b LTF .</w:t>
      </w:r>
    </w:p>
    <w:p>
      <w:r>
        <w:rPr>
          <w:b/>
        </w:rPr>
        <w:t>E. 2</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