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692/2022 vom 7. Juni 2022</w:t>
      </w:r>
    </w:p>
    <w:p>
      <w:r>
        <w:t>Bundesgericht, 2022-06-07, FR</w:t>
      </w:r>
    </w:p>
    <w:p>
      <w:r>
        <w:rPr>
          <w:b/>
        </w:rPr>
        <w:t xml:space="preserve">Quelle: </w:t>
      </w:r>
      <w:r>
        <w:t>https://mcp.opencaselaw.ch/entscheid/bger_6B_692_2022</w:t>
      </w:r>
    </w:p>
    <w:p>
      <w:r>
        <w:t>FR: TF 6B 692/2022 du 7 juin 2022</w:t>
      </w:r>
    </w:p>
    <w:p>
      <w:r>
        <w:t>IT: TF 6B 692/2022 del 7 giugno 2022</w:t>
      </w:r>
    </w:p>
    <w:p>
      <w:pPr>
        <w:pStyle w:val="Heading2"/>
      </w:pPr>
      <w:r>
        <w:t>Regeste</w:t>
      </w:r>
    </w:p>
    <w:p>
      <w:r>
        <w:t>Irrecevabilité du recours en matière pénale; défaut de qualité pour recourir de la partie plaignante (ordonnance de non-entrée en matière [dénonciation calomnieuse, etc.]) | Procédure pénale</w:t>
      </w:r>
    </w:p>
    <w:p>
      <w:pPr>
        <w:pStyle w:val="Heading2"/>
      </w:pPr>
      <w:r>
        <w:t>Erwägungen</w:t>
      </w:r>
    </w:p>
    <w:p>
      <w:r>
        <w:rPr>
          <w:b/>
        </w:rPr>
        <w:t>E. 1</w:t>
      </w:r>
    </w:p>
    <w:p>
      <w:r>
        <w:t>Par arrêt du 29 avril 2022, la Chambre pénale du Tribunal cantonal fribourgeois a rejeté le recours formé par A.________ contre l'ordonnance de non-entrée en matière rendue le 6 octobre 2020 par le Ministère public de l'État de Fribourg. Cette dernière faisait suite à la requête du prénommé d'examiner les plaintes pénales formées par B.________ sous l'angle des infractions de dénonciation calomnieuse et d'induction de la justice en erreur.</w:t>
      </w:r>
    </w:p>
    <w:p>
      <w:r>
        <w:rPr>
          <w:b/>
        </w:rPr>
        <w:t>E. 2</w:t>
      </w:r>
    </w:p>
    <w:p>
      <w:r>
        <w:t>A.________ forme un recours en matière pénale au Tribunal fédéral contre l'arrêt du 29 avril 2022. Il conclut, avec suite de frais, à l'annulation de la décision querellée et au renvoi de la cause à la cour cantonale pour nouveau jugement.</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se borne à affirmer avoir un intérêt juridique à la réforme de l'arrêt attaqué et à ce que le comportement de l'intimé soit sanctionné pénalement. Bien que l'on comprenne en filigrane de son écriture que les agissements dénoncés porteraient atteinte à son honneur, il ne formule à ce titre aucune prétention civile, en particulier ne fait valoir aucun tort moral. Il ne démontre donc pas à satisfaction de droit en quoi l'arrêt querellé aurait des effets sur le jugement de ses prétentions civiles. Il s'ensuit que le recourant ne saurait fonder sa qualité pour recourir sous l'angle de l'art. 81 al. 1 let. b ch. 5 LTF.</w:t>
      </w:r>
    </w:p>
    <w:p>
      <w:r>
        <w:rPr>
          <w:b/>
        </w:rPr>
        <w:t>E. 4</w:t>
      </w:r>
    </w:p>
    <w:p>
      <w:r>
        <w:t>Pour le surplus, il ne ressort du mémoire de recours ni invocation d'une éventuelle violation d'un droit de procédure entièrement séparé du fond, équivalent à un déni de justice (cf. ATF 141 IV 1 consid. 1.1 p. 5), ni allégation d'une violation du droit à la plainte (art. 81 al. 1 let. b ch. 6 LTF). Le recours en matière pénale n'apparaît pas plus recevable sous ces deux angles.</w:t>
      </w:r>
    </w:p>
    <w:p>
      <w:r>
        <w:rPr>
          <w:b/>
        </w:rPr>
        <w:t>E. 5</w:t>
      </w:r>
    </w:p>
    <w:p>
      <w:r>
        <w:t>Par surabondance, le recourant cherche à fonder la recevabilité de son recours sur le fait qu'existerait un intérêt général de principe à la question de l'application correcte de l' art. 303 CP . Le recourant semble se prévaloir de la jurisprudence de la Cour de céans selon laquelle la qualité pour recourir en matière pénale peut être admise même en l'absence d'un intérêt actuel (cf. ATF 140 IV 74 consid. 1.3.3 p. 78). Outre que l'argumentation développée à cet égard apparaît douteuse, elle s'avère sans aucune pertinence en l'espèce, puisque le défaut de qualité pour recourir du recourant ne découle pas de l'absence d'intérêt actuel.</w:t>
      </w:r>
    </w:p>
    <w:p>
      <w:r>
        <w:rPr>
          <w:b/>
        </w:rPr>
        <w:t>E. 6</w:t>
      </w:r>
    </w:p>
    <w:p>
      <w:r>
        <w:t>Au vu de ce qui précède, le recours doit être déclaré irrecevable, faute pour le recourant de disposer de la qualité pour recourir. L'irrecevabilité est manifeste. Elle doit être constatée dans la procédure prévue par l' art. 108 al. 1 let. b LTF . Le recourant,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