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6B_692/2020 vom 27. September 2021</w:t>
      </w:r>
    </w:p>
    <w:p>
      <w:r>
        <w:t>Bundesgericht, 2021-09-27, DE</w:t>
      </w:r>
    </w:p>
    <w:p>
      <w:r>
        <w:rPr>
          <w:b/>
        </w:rPr>
        <w:t xml:space="preserve">Quelle: </w:t>
      </w:r>
      <w:r>
        <w:t>https://mcp.opencaselaw.ch/entscheid/bger_6B_692_2020</w:t>
      </w:r>
    </w:p>
    <w:p>
      <w:r>
        <w:t>FR: TF 6B_692/2020 du 27 septembre 2021</w:t>
      </w:r>
    </w:p>
    <w:p>
      <w:r>
        <w:t>IT: TF 6B_692/2020 del 27 settembre 2021</w:t>
      </w:r>
    </w:p>
    <w:p>
      <w:pPr>
        <w:pStyle w:val="Heading2"/>
      </w:pPr>
      <w:r>
        <w:t>Erwägungen</w:t>
      </w:r>
    </w:p>
    <w:p>
      <w:r>
        <w:rPr>
          <w:b/>
        </w:rPr>
        <w:t>E. 1.1</w:t>
      </w:r>
    </w:p>
    <w:p>
      <w:r>
        <w:t>Der Beschwerdeführer rügt eine Verletzung des Anklagegrundsatzes ( Art. 9 StPO ). Der zur Anklage erhobene Strafbefehl habe sich über den subjektiven Tatbestand gänzlich ausgeschwiegen. Auch bei Übertretungen sei eine Umschreibung des subjektiven Tatbestandes zu fordern.</w:t>
      </w:r>
    </w:p>
    <w:p>
      <w:r>
        <w:rPr>
          <w:b/>
        </w:rPr>
        <w:t>E. 1.2.1</w:t>
      </w:r>
    </w:p>
    <w:p>
      <w:r>
        <w:t>Nach dem aus Art. 29 Abs. 2 und Art. 32 Abs. 2 BV sowie aus Art. 6 Ziff. 1 und 3 lit. a und b EMRK abgeleiteten und nunmehr in Art. 9 Abs. 1 sowie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132 E. 3.4.1; Urteil 6B_658/2020 vom 23. August 2021 E. 2.2; mit Hinweisen).</w:t>
      </w:r>
    </w:p>
    <w:p>
      <w:r>
        <w:t>Nach langjähriger Rechtsprechung muss klar sein, ob der angeklagten Person Fahrlässigkeit oder vorsätzliche Begehung vorgeworfen wird, denn beide Varianten verlangen durchaus ein unterschiedliches Vorgehen der Verteidigung ( BGE 120 IV 348 E. 3.c S. 356; Urteil 6B_654/2019 vom 12. März 2020 E. 1.3; mit Hinweisen). Handelt es sich um ein Fahrlässigkeitsdelikt, hat die Anklageschrift insbesondere die gesamten Umstände anzugeben, nach welchen das Verhalten der beschuldigten Person als pflichtwidrige Unvorsichtigkeit erscheint und inwieweit der Eintritt des tatbestandsmässigen Erfolges für die beschuldigte Person voraussehbar und vermeidbar war ( BGE 120 IV 348 E. 3.c S. 356; Urteile 6B_1452/2019 vom 25. September 2020 E. 1.2; 6B_1142/2019 vom 2. März 2020 E. 3.1; mit Hinweisen). Die Schilderung des objektiven Tatgeschehens reicht indessen aus, wenn sich daraus die Umstände ergeben, aus denen auf einen vorhandenen Vorsatz geschlossen werden kann (Urteile 6B_654/2019 vom 12. März 2020 E. 1.3; 6B_638/2019 vom 17. Oktober 2019 E. 1.4.2; 6B_266/2018 vom 18. März 2019 E. 1.2; 6B_510/2016 vom 13. Juli 2017 E. 3.1, nicht publ. in: BGE 143 IV 483 ; mit Hinweisen).</w:t>
      </w:r>
    </w:p>
    <w:p>
      <w:r>
        <w:rPr>
          <w:b/>
        </w:rPr>
        <w:t>E. 1.2.2</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1.3</w:t>
      </w:r>
    </w:p>
    <w:p>
      <w:r>
        <w:t>Entgegen den Vorbringen des Beschwerdeführers schweigt sich der zur Anklageschrift erhobene Strafbefehl (oben, Bst. A.) nicht über den subjektiven Tatbestand aus. Im Strafbefehl wurde die dem Beschwerdeführer vorgeworfene fehlende Aufmerksamkeit ausdrücklich aufgeführt. Zudem enthielt er die einschlägigen anwendbaren Rechtsgrundlagen, insbesondere Art. 3 Abs. 1 der Verkehrsregelnverordnung (VRV; SR 741.11) . Mit dieser Bestimmung betreffend die Aufmerksamkeit, welche der Fahrzeugführer der Strasse und dem Verkehr zu widmen hat, wird zusätzlich auf das dem Beschwerdeführer vorgeworfene Fahrlässigkeitsdelikt hingewiesen (vgl. Urteil 6B_1401/2016 vom 24. August 2017 E. 1.4). Der Vorwurf der fahrlässigen Tatbegehung ergibt sich ferner aus dem Umstand, dass die vorsätzliche und fahrlässige einfache Verkehrsregelverletzung gleichermassen strafbar sind (vgl. Art. 90 Abs. 1 i.V.m. Art. 100 Ziff. 1 SVG ), dem Beschwerdeführer in der Anklageschrift aber keine vorsätzliche Widerhandlung gegen das SVG vorgeworfen wird (vgl. Urteil 6B_267/2019 vom 11. Dezember 2019 E. 3.3). Schliesslich berücksichtigte die Vorinstanz zu Recht, dass bei Bagatelldelikten wie hier weniger hohe Anforderungen an das Akkusationsprinzip zu stellen sind (vgl. Urteile 6B_267/2019 vom 11. Dezember 2019 E. 3.3; 6B_1423/2017 vom 9. Mai 2018 E. 1.4; 6B_1401/2016 vom 24. August 2017 E. 1.4; mit Hinweisen). Inwiefern dies mit der vom Beschwerdeführer pauschal angerufenen StPO, BV oder EMRK nicht vereinbar sein soll, legt er nicht dar. Schliesslich vermag der Beschwerdeführer mit seinem Hinweis auf eine drohende Administrativmassnahme im Sinne von Art. 16b Abs. 2 lit. f SVG nicht aufzuzeigen, weswegen vorliegend nicht von einem Bagatelldelikt auszugehen sein soll (vgl. Art. 132 Abs. 3 StPO ; Urteile 6B_1423/2017 vom 9. Mai 2018 E. 1.4; 6B_1401/2016 vom 24. August 2017 E. 1.4).</w:t>
      </w:r>
    </w:p>
    <w:p>
      <w:r>
        <w:t>Aufgrund der dargelegten Elemente war es für den Beschwerdeführer klar, dass ihm Fahrlässigkeit vorgeworfen wurde und er konnte sich zu diesem Vorwurf äussern. Dass und inwiefern ihm eine wirksame Verteidigung nicht möglich gewesen sein sollte, ist unter dem Gesichtspunkt des Anklagegrundsatzes weder aufgezeigt noch ersichtlich. Es ist daher nicht zu beanstanden, dass die Vorinstanz festhielt, der Strafbefehl bringe den Vorwurf der fahrlässigen Tatbegehung hinreichend zum Ausdruck. Die geltend gemachte Rechtsverletzung ist zu verneinen.</w:t>
      </w:r>
    </w:p>
    <w:p>
      <w:r>
        <w:rPr>
          <w:b/>
        </w:rPr>
        <w:t>E. 2.1</w:t>
      </w:r>
    </w:p>
    <w:p>
      <w:r>
        <w:t>Schliesslich beanstandet der Beschwerdeführer, die Vorinstanz sei in Willkür verfallen und habe die Unschuldsvermutung verletzt, indem sie vom entstandenen Sachschaden darauf geschlossen habe, dass kein besonders leichtes Verschulden des Beschwerdeführers vorliege.</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im Sinne von Art. 9 BV ist ( BGE 145 IV 154 E. 1.1; 143 IV 241 E. 2.3.1; 141 IV 317 E. 5.4 mit Hinweisen).</w:t>
      </w:r>
    </w:p>
    <w:p>
      <w:r>
        <w:t>Willkür bei der Beweiswürdigung liegt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(vgl. BGE 146 IV 88 E. 1.3.1 S. 92; 144 V 50 E. 4.2; 143 IV 500 E. 1.1; Urteil 6B_276/2021 vom 23. Juni 2021 E. 4.2; mit Hinweisen).</w:t>
      </w:r>
    </w:p>
    <w:p>
      <w:r>
        <w:rPr>
          <w:b/>
        </w:rPr>
        <w:t>E. 2.3</w:t>
      </w:r>
    </w:p>
    <w:p>
      <w:r>
        <w:t>Entgegen den Vorbringen des Beschwerdeführers stellte die Vorinstanz zur Beurteilung des Verschuldens nicht einzig auf den von der Polizei auf Fr. 56'600.-- geschätzten Sachschaden ab, sondern berücksichtigte ebenfalls die ernstliche Gefahr für Leib und Leben, die der Beschwerdeführer mit seinem unvorsichtigen Verhalten geschaffen habe und dass es lediglich glücklichen Umständen zu verdanken gewesen sei, dass durch die Kollision niemand verletzt worden sei. Sie wies darauf hin, dass die dem Beschwerdeführer unklar erschienene Verkehrssituation sowie allenfalls störende Umwelteinflüsse durch eine tiefstehende Sonne sein pflichtwidriges Handeln nicht zu entschuldigen vermögen und vor diesem Hintergrund nicht von einer Strafe Umgang zu nehmen sei. Sie hat sich entgegen seinen Vorbringen mit den Umständen und Ursachen seiner fehlenden Aufmerksamkeit hinreichend auseinandergesetzt. Die vom Beschwerdeführer geltend gemachte Rechtsverletzung ist zu verneinen, sofern seine Ausführungen überhaupt den gesetzlichen Begründungsanforderungen ( Art. 42 Abs. 1 BGG und Art. 106 Abs. 2 BGG ) zu genügen vermögen.</w:t>
      </w:r>
    </w:p>
    <w:p>
      <w:r>
        <w:rPr>
          <w:b/>
        </w:rPr>
        <w:t>E. 3</w:t>
      </w:r>
    </w:p>
    <w:p>
      <w:r>
        <w:t>Der Beschwerdeführer rügt schliesslich eine Verletzung der Gewaltentrennung. Da die Staatsanwaltschaft nicht untersucht habe, ob er das vortrittsberechtigte Fahrzeug von B.________ rechtzeitig habe erkennen können und müssen, habe sich die Justiz zur Untersuchungsbehörde gemacht. Wie bereits dargelegt war der Vorwurf der fahrlässigen Tatbegehung in der Anklageschrift enthalten. Der Vorwurf, der Beschwerdeführer habe das vortrittsberechtigte Fahrzeug von B.________ rechtzeitig erkennen können, geht mit der Anschuldigung der fahrlässigen Begehung einher. Die Vorinstanz präzisiert damit den in der Anklage wiedergegebenen Sachverhalt, ohne diesen zu verlassen. Im Übrigen ist der Beschwerdeführer auf die nach der StPO vorgesehene aktive Rolle des Gerichts bei der Beweisführung zu verweisen (Art. 6, Art. 343 Abs. 1 und 2, Art. 389 Abs. 2 und 3 StPO ; BGE 144 I 234 E. 5.6.2 mit Hinweisen). Das Vorbringen des Beschwerdeführers erweist sich als unbegründet, soweit er den Begründungsanforderungen ( Art. 42 Abs. 1 BGG und Art. 106 Abs. 2 BGG ) überhaupt zu genügen vermag.</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