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6B_692/2008 vom 28. November 2008</w:t>
      </w:r>
    </w:p>
    <w:p>
      <w:r>
        <w:t>Bundesgericht, 2008-11-28, DE</w:t>
      </w:r>
    </w:p>
    <w:p>
      <w:r>
        <w:rPr>
          <w:b/>
        </w:rPr>
        <w:t xml:space="preserve">Quelle: </w:t>
      </w:r>
      <w:r>
        <w:t>https://mcp.opencaselaw.ch/entscheid/bger_6B_692_2008</w:t>
      </w:r>
    </w:p>
    <w:p>
      <w:r>
        <w:t>FR: TF 6B_692/2008 du 28 novembre 2008</w:t>
      </w:r>
    </w:p>
    <w:p>
      <w:r>
        <w:t>IT: TF 6B_692/2008 del 28 novembre 2008</w:t>
      </w:r>
    </w:p>
    <w:p>
      <w:pPr>
        <w:pStyle w:val="Heading2"/>
      </w:pPr>
      <w:r>
        <w:t>Erwägungen</w:t>
      </w:r>
    </w:p>
    <w:p>
      <w:r>
        <w:rPr>
          <w:b/>
        </w:rPr>
        <w:t>E. 1</w:t>
      </w:r>
    </w:p>
    <w:p>
      <w:r>
        <w:t>Die Beschwerdeführerin macht geltend, aufgrund der vorhandenen Indizien könne ein strafbares Verhalten des Beschwerdegegners nicht ausgeschlossen werden. Es hätte daher nach dem Grundsatz "im Zweifel für die Eröffnung" ein Verfahren eröffnet werden müssen, der angefochtene Nichteintretensentscheid beruhe auf einer willkürlichen Anwendung des kantonalen Verfahrensrechts. Ihre Anschuldigungen seien zudem keineswegs von vornherein unglaubhaft sondern vielmehr vertretbar, weshalb sie nach Art. 3 EMRK einen Anspruch auf deren wirksame und vertiefte amtliche Untersuchung habe.</w:t>
      </w:r>
    </w:p>
    <w:p>
      <w:r>
        <w:rPr>
          <w:b/>
        </w:rPr>
        <w:t>E. 1.1</w:t>
      </w:r>
    </w:p>
    <w:p>
      <w:r>
        <w:t>Nach Art. 173 Abs. 1 des St. Galler Strafprozessgesetzes vom 1. Juli 1999 (StP) ist ein Strafverfahren zu eröffnen, wenn hinreichende Indizien für eine strafbare Handlung vorliegen. Soll diese von einem Polizeibeamten im Rahmen seiner Amtsführung begangen worden sein, so befindet die Anklagekammer über die Eröffnung des Strafverfahrens (Art. 16 Abs. 2 lit. b StP). Der angefochtene Entscheid, mit dem die Anklagekammer wegen fehlenden Anfangsverdachts keine Strafuntersuchung eröffnete, ist ein kantonaler Endentscheid in Strafsachen, gegen den die Beschwerde in Strafsachen zulässig ist.</w:t>
      </w:r>
    </w:p>
    <w:p>
      <w:r>
        <w:rPr>
          <w:b/>
        </w:rPr>
        <w:t>E. 1.2</w:t>
      </w:r>
    </w:p>
    <w:p>
      <w:r>
        <w:t>Nach konstanter Rechtsprechung hat die Beschwerdeführerin als Geschädigte kein rechtlich geschütztes Interesse, die Nichteröffnung eines Strafverfahrens in der Sache anzufechten, da der Strafanspruch dem Staat zusteht. Als (angebliches) Opfer einer polizeilichen Misshandlung käme ihr zwar Opferstellung im Sinn von Art. 2 Abs. 1 OHG zu, was aber ihre prozessuale Situation nicht verbessert, da der Kanton St. Gallen nach Art. 1 Abs. 1 und 3 seines Verantwortlichkeitsgesetzes vom 7. Dezember 1959 für den Schaden, den ein Polizeibeamter widerrechtlich Dritten zufügt, selber haftet und Zivilansprüche gegen den ins Recht gefassten Beamten ausschliesst ( BGE 131 I 455 E. 1.2.1-1.2.4). Trotz fehlender Legitimation in der Sache kann die Beschwerdeführerin indessen in jedem Fall die Verletzung von Parteirechten rügen, deren Missachtung auf eine formelle Rechtsverweigerung hinausläuft ("Star-Praxis"; BGE 133 I 185 E. 6.2 S. 198).</w:t>
      </w:r>
    </w:p>
    <w:p>
      <w:r>
        <w:rPr>
          <w:b/>
        </w:rPr>
        <w:t>E. 1.3</w:t>
      </w:r>
    </w:p>
    <w:p>
      <w:r>
        <w:t>Nach der Rechtsprechung des Bundesgerichts zu Art. 3 EMRK i.V.m. Art. 13 EMRK sowie zu Art. 10 Abs. 3 BV hat, wer in vertretbarer Weise behauptet, von einem Polizeibeamten in erniedrigender Weise misshandelt worden zu sein, einen verfassungs- und konventionsrechtlichen Anspruch darauf, dass dieser Vorwurf in einer vertieften amtlichen Untersuchung abgeklärt wird ( BGE 131 I 455 E. 1.2.5, 1.2.6). Die Beschwerdeführerin behauptet, der Beschwerdegegner habe ihr während und insbesondere nach ihrer Fesselung unnötig Gewalt angetan und ihr Schmerzen zugefügt. Nach der Rechtsprechung verletzt polizeiliche Gewalt gegen eine Gefesselte, soweit sie nicht aufgrund ihres (renitenten) Verhaltens unumgänglich ist, die menschliche Würde und damit Art. 3 EMRK (BGE a.a.O. E. 1.2.6). Die Beschwerdeführerin ist befugt, die Verletzung dieses Anspruchs zu rügen.</w:t>
      </w:r>
    </w:p>
    <w:p>
      <w:r>
        <w:t>Eine "in vertretbarer Weise" vorgebrachte und damit jedenfalls nicht von vornherein unglaubhafte Behauptung, ein Polizeibeamter habe strafbare Handlungen begangen, begründet indessen auch den nach strafprozessualen Grundsätzen die Eröffnung einer Strafuntersuchung erheischenden Anfangsverdacht. Insofern deckt sich die Rüge, der angefochtene Entscheid verletze das Folterverbot mit derjenigen, das kantonale Verfahrensrecht sei willkürlich angewandt worden. Da Erstere zu einer freien - auch materiellen - Überprüfung des angefochtenen Entscheids führt, verbleibt für Letztere, zu der die Beschwerdeführerin nur sehr beschränkt legitimiert ist (oben E. 1.2), kein Raum.</w:t>
      </w:r>
    </w:p>
    <w:p>
      <w:r>
        <w:rPr>
          <w:b/>
        </w:rPr>
        <w:t>E. 2</w:t>
      </w:r>
    </w:p>
    <w:p>
      <w:r>
        <w:t>Die Beschwerdeführerin war zur Zeit des Unfalls nicht bloss angetrunken, sondern mit einem Blutalkoholgehalt von 2,25 Promillen erheblich betrunken. Sie hat denn auch eine dafür typische Erinnerungslücke und weiss nicht mehr, wie sie den Abend vor dem Unfall verbracht hat, wo und wie sie den in ihrem Blut festgestellten Alkohol zu sich genommen hat. Beim Eintreffen der Polizei war sie nach eigenen Angaben kurz zuvor aus der Bewusstlosigkeit erwacht, war verwirrt und stand unter Schock. Dies wird von den Polizeibeamten bestätigt, die sie als ansprechbar, aber als "stark durcheinander" beschrieben. Dies entspricht dem im Polizeirapport geschilderten Verhalten der Beschwerdeführerin, wonach sie auf Anfrage erklärte, den Unfall unverletzt überstanden zu haben und den Beamten auf deren Aufforderung hin Fahrzeug- und Führerausweis aushändigte, diese indessen anschliessend beschuldigte, ihren Hund vertrieben und ihre Handtasche sowie ihr Mobiltelefon gestohlen zu haben, obwohl der Hund neben ihr stand und sie die fraglichen Effekten bei sich hatte. Es erscheint ohne weiteres plausibel, dass die Beschwerdeführerin in diesem getrübten Geisteszustand die Wirklichkeit nicht adäquat wahrnahm und die wiederholten Aufforderungen der Beamten, aus dem Fahrzeug zu steigen und mit ihnen für die Blutentnahme ins Spital zu kommen, nicht verstand bzw. nicht verstehen konnte oder wollte, und den Zugriff des Beschwerdegegners, der sie schliesslich aus dem Auto zog, als ungerechtfertigten, gewalttätigen Angriff empfand, den sie durch Schimpfen, Spucken und Treten abzuwehren versuchte. Der Beschwerdegegner war in dieser Situation jedenfalls befugt, sich zu schützen und die Beschwerdeführerin am Arm und am Kragen bzw. am Genick festzuhalten, um ihre Angriffe abzuwehren. Dass diese aufgrund vorbestehender Verletzungen am Genick besonders schmerzempfindlich war, konnte der Beamte nicht wissen, erklärt aber, dass sie durch diesen Zugriff noch weiter ausser sich geriet und sich zunehmend unkontrolliert verhielt. Dass sie sich bei dieser Aktion ein Hämatom am linken Oberarm, Schwellungen am linken Handgelenk und über dem Mittelfinger sowie eine Schürfwunde am Schienbein zuzog, ist daher, wie die Anklagekammer zu Recht feststellte, mit diesem durch die Amtspflicht gedeckten Ablauf ihrer Abführung ohne weiteres vereinbar. Die festgestellten Verletzungen deuten keineswegs daraufhin, dass vom Beschwerdegegner rechtswidrig weitere, überflüssige Gewalt angewendet worden wäre.</w:t>
      </w:r>
    </w:p>
    <w:p>
      <w:r>
        <w:t>Zusammenfassend ergibt sich, dass die polizeiliche Darstellung des Vorfalls, wonach die gewaltsame Überführung der Beschwerdeführerin in den Patrouillenwagen ohne unnötige Härten durchgeführt wurde, plausibel und kohärent erscheint. Die Wahrnehmung der Beschwerdeführerin war in dieser Zeit vorab alkohol-, möglicherweise auch unfallbedingt, stark getrübt. Ihre Aussagen zu diesem Vorfall sind dementsprechend mit grosser Zurückhaltung zu würdigen, weshalb es die Anklagekammer zu Recht als ausgeschlossen erachtet, dass mit ihnen der Nachweis eines strafbaren Verhaltens des Beschwerdegegners zu führen wäre. Es ist unter diesen Umständen verfassungs- und konventionsrechtlich nicht zu beanstanden, dass die Anklagekammer keine Strafuntersuchung eröffnete, die Rüge ist unbegründet.</w:t>
      </w:r>
    </w:p>
    <w:p>
      <w:r>
        <w:rPr>
          <w:b/>
        </w:rPr>
        <w:t>E. 3</w:t>
      </w:r>
    </w:p>
    <w:p>
      <w:r>
        <w:t>Bei diesem Ausgang des Verfahrens trägt die Beschwerdeführerin die Kosten ( Art. 66 Abs. 1 BGG ). Sie hat zwar ein Gesuch um unentgeltliche Rechtspflege und Verbeiständung gestellt, welches indessen abzuweisen ist, da die Beschwerde aussichtslos war ( Art. 64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