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691/2017 vom 7. Juli 2017</w:t>
      </w:r>
    </w:p>
    <w:p>
      <w:r>
        <w:t>Bundesgericht, 2017-07-07, DE</w:t>
      </w:r>
    </w:p>
    <w:p>
      <w:r>
        <w:rPr>
          <w:b/>
        </w:rPr>
        <w:t xml:space="preserve">Quelle: </w:t>
      </w:r>
      <w:r>
        <w:t>https://mcp.opencaselaw.ch/entscheid/bger_6B_691_2017</w:t>
      </w:r>
    </w:p>
    <w:p>
      <w:r>
        <w:t>FR: TF 6B 691/2017 du 7 juillet 2017</w:t>
      </w:r>
    </w:p>
    <w:p>
      <w:r>
        <w:t>IT: TF 6B 691/2017 del 7 luglio 2017</w:t>
      </w:r>
    </w:p>
    <w:p>
      <w:pPr>
        <w:pStyle w:val="Heading2"/>
      </w:pPr>
      <w:r>
        <w:t>Regeste</w:t>
      </w:r>
    </w:p>
    <w:p>
      <w:r>
        <w:t>Nichtanhandnahme (Amtsmissbrauch), Nichteintreten | Strafprozess</w:t>
      </w:r>
    </w:p>
    <w:p>
      <w:pPr>
        <w:pStyle w:val="Heading2"/>
      </w:pPr>
      <w:r>
        <w:t>Erwägungen</w:t>
      </w:r>
    </w:p>
    <w:p>
      <w:r>
        <w:rPr>
          <w:b/>
        </w:rPr>
        <w:t>E. 1</w:t>
      </w:r>
    </w:p>
    <w:p>
      <w:r>
        <w:t>Die Privatklägerschaft ist zur Beschwerde in Strafsachen legitimiert, wenn der angefochtene Entscheid sich auf die Beurteilung ihrer Zivilansprüche auswirken kann (Art. 81 Abs. 1 lit. b Ziff. 5 BGG). Als Zivilansprüche im Sinne von Art. 81 Abs. 1 lit. b Ziff. 5 BGG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gemäss Art. 81 Abs. 1 lit. b Ziff. 5 BGG ( BGE 131 I 455 E. 1.2.4 S. 461; 128 IV 188 E. 2.2 f. S. 191 f.). Gemäss § 6 Abs. 1 i.V.m. § 1 Abs. 1 des Haftungsgesetzes des Kantons Zürich vom 14. September 1969 (HG/ZH; LS 170.1) haftet der Kanton für den Schaden, den Mitglieder seiner Behörden oder Gerichte oder die in seinem Dienst stehenden Personen in Ausübung amtlicher Verrichtungen einem Dritten widerrechtlich zufügen. Dem Geschädigten steht kein Anspruch gegen den Angestellten zu (§ 6 Abs. 4 HG/ZH). Die vom Beschwerdeführer gegen einen Staatsanwalt des Kantons Zürich erhobenen strafrechtlichen Vorwürfe könnten allenfalls Staatshaftungsansprüche nach sich ziehen. Gegen die beschuldigte Person selber stehen dem Beschwerdeführer jedoch keine zivilrechtlichen Ansprüche zu, weshalb er insoweit nicht im Sinne von Art. 81 Abs. 1 lit. b Ziff. 5 BGG zur Beschwerde legitimiert ist (siehe etwa Urteil 6B_1415/2016 vom 31. Mai 2017 E. 1).</w:t>
      </w:r>
    </w:p>
    <w:p>
      <w:r>
        <w:rPr>
          <w:b/>
        </w:rPr>
        <w:t>E. 2</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Der Beschwerdeführer rügt Verfahrensrechte als verletzt. Er bezieht sich dabei allerdings auf das Verfahren, in welches er als beschuldigte Person involviert ist. Darauf ist nicht einzutreten. Als Privatkläger kann er sich im vorliegenden Verfahren nicht auf den Grundsatz "in dubio pro reo" gemäss Art. 32 Abs. 1 BV , 6 Ziff. 2 EMKR und Art. 10 Abs. 3 StPO berufen. Die von ihm überdies beanstandete Bezugnahme auf das noch nicht rechtskräftige Urteil des Bezirksgerichts Zürich vom 28. Oktober 2015 in der Einstellungsverfügung vom 25. Januar 2016 und im Entscheid des Obergerichts betrifft im Übrigen die Begründung. Das Vorbringen, die Bezugnahme darauf sei problematisch bzw. nicht statthaft, läuft auf eine Überprüfung in der Sache hinaus, die das Bundesgericht nicht vornehmen darf. Entsprechendes gilt, soweit der Beschwerdeführer den Untersuchungsgrundsatz als verletzt rügt.</w:t>
      </w:r>
    </w:p>
    <w:p>
      <w:r>
        <w:rPr>
          <w:b/>
        </w:rPr>
        <w:t>E. 3</w:t>
      </w:r>
    </w:p>
    <w:p>
      <w:r>
        <w:t>Auf die Beschwerde ist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