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68/2021 vom 19. Februar 2021</w:t>
      </w:r>
    </w:p>
    <w:p>
      <w:r>
        <w:t>Bundesgericht, 2021-02-19, FR</w:t>
      </w:r>
    </w:p>
    <w:p>
      <w:r>
        <w:rPr>
          <w:b/>
        </w:rPr>
        <w:t xml:space="preserve">Quelle: </w:t>
      </w:r>
      <w:r>
        <w:t>https://mcp.opencaselaw.ch/entscheid/bger_6B_68_2021</w:t>
      </w:r>
    </w:p>
    <w:p>
      <w:r>
        <w:t>FR: TF 6B 68/2021 du 19 février 2021</w:t>
      </w:r>
    </w:p>
    <w:p>
      <w:r>
        <w:t>IT: TF 6B 68/2021 del 19 febbraio 2021</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13 janvier 2021, la Chambre pénale de recours de la Cour de justice de la République et canton de Genève a rejeté le recours formé par A.________ contre l'ordonnance du 29 septembre 2020 par laquelle le Ministère public genevois a refusé d'entrer en matière sur la plainte déposée par la prénommée contre B.________, intervenante en protection de l'enfant au sein du Service d'évaluation et d'accompagnement de la séparation parentale. A.________ forme un recours en matière pénale au Tribunal fédéral. Elle conclut, avec suite de frais et dépens, à l'annulation de l'arrêt susmentionné et à ce qu'il soit ordonné au ministère public la reprise de l'instruction par un autre procureur. Elle requiert, par ailleurs, la récusation de M. le Juge fédéral Christian Denys ainsi que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w:t>
      </w:r>
    </w:p>
    <w:p>
      <w:r>
        <w:t>La recourante requiert la récusation de Monsieur le Juge fédéral Christian Denys. Elle se contente toutefois d'affirmer que celui-ci aurait un intérêt particulier à la cause, sans autre développement. Ce faisant, elle ne décrit pas en quoi le magistrat concerné présenterait un cas de récusation au sens de l' art. 34 al. 1 LTF . Dépourvue de toute motivation pertinente, la demande de récusation est irrecevable. Elle peut être traitée même par un juge visé par ce procédé ( ATF 129 III 445 consid. 4.2.2 p. 646 et les arrêts cités; 114 la 278 consid. 1 p. 279; 105 lb 301 consid. 1c et d p. 304).</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Indépendamment du point de savoir si B.________, en sa qualité d'intervenante en protection de l'enfant au sein du Service d'évaluation et d'accompagnement de la séparation parentale, est une fonctionnaire au sens de l'art. 2 al. 1 de la loi genevoise du 24 février 1989 sur la responsabilité de l'État et des communes (LREC; RS/GE A 2 40) ce qui aurait pour conséquence que la recourante ne disposerait que d'une prétention de droit public à faire valoir non pas contre l'auteur présumé contre lequel elle a dirigé sa plainte mais contre l'État (cf. sur ce point arrêt 6B_1201/2020 du 2 novembre 2020 consid. 2.1), la recourante ne se détermine nullement sur un éventuel tort moral ou dommage, ni sur leur principe, ni sur leur quotité. L'absence d'explications sur la question des prétentions civiles exclut la qualité pour recourir de la recourante sur le fond de la cause.</w:t>
      </w:r>
    </w:p>
    <w:p>
      <w:r>
        <w:rPr>
          <w:b/>
        </w:rPr>
        <w:t>E. 4.2</w:t>
      </w:r>
    </w:p>
    <w:p>
      <w:r>
        <w:t>L'hypothèse visée à l'art. 81 al. 1 let. b ch. 6 LTF n'entre pas en considération, la recourante ne soulevant aucun grief quant à son droit de porter plainte.</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Invoquant une violation de son droit d'être entendue, la recourante fait grief à la cour cantonale de ne pas avoir donné suite à ses réquisitions de preuve. Ses développements à cet égard ne visent toutefois qu'à démontrer en quoi ces mesures seraient nécessaires afin d'établir ses accusations. Elle ne fait ainsi valoir aucun moyen qui peut être séparé du fond et ses griefs ne sauraient fonder sa qualité pour recourir.</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6B_1156/2020 du 2 novembre 2020 consid. 4; 6B_563/2020 du 10 juillet 2020 consid. 3;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 6B_1207/2020 du 24 novembre 2020 consid. 4 et la référence citée). En l'occurrence, au vu du sort du recours, la demande de désignation d'un avocat d'office et d'assistance judiciaire doit être rejetée, faute de chance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