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6B_687/2021 vom 16. Juni 2021</w:t>
      </w:r>
    </w:p>
    <w:p>
      <w:r>
        <w:t>Bundesgericht, 2021-06-16, DE</w:t>
      </w:r>
    </w:p>
    <w:p>
      <w:r>
        <w:rPr>
          <w:b/>
        </w:rPr>
        <w:t xml:space="preserve">Quelle: </w:t>
      </w:r>
      <w:r>
        <w:t>https://mcp.opencaselaw.ch/entscheid/bger_6B_687_2021</w:t>
      </w:r>
    </w:p>
    <w:p>
      <w:r>
        <w:t>FR: TF 6B_687/2021 du 16 juin 2021</w:t>
      </w:r>
    </w:p>
    <w:p>
      <w:r>
        <w:t>IT: TF 6B_687/2021 del 16 giugno 2021</w:t>
      </w:r>
    </w:p>
    <w:p>
      <w:pPr>
        <w:pStyle w:val="Heading2"/>
      </w:pPr>
      <w:r>
        <w:t>Erwägungen</w:t>
      </w:r>
    </w:p>
    <w:p>
      <w:r>
        <w:rPr>
          <w:b/>
        </w:rPr>
        <w:t>E. 1</w:t>
      </w:r>
    </w:p>
    <w:p>
      <w:r>
        <w:t>Die Oberstaatsanwaltschaft des Kantons Aargau nahm eine von der Beschwerdeführerin angestrebte Strafuntersuchung am 22. März 2021 nicht an die Hand. Auf eine dagegen gerichtete Beschwerde trat das Obergericht des Kantons Aargau am 28. April 2021 androhungsgemäss mangels Leistung der Sicherheit nach Art. 383 Abs. 1 und 2 StPO nicht ein. Die Beschwerdeführerin gelangt an das Bundesgericht.</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Im vorliegenden Verfahren kann es nur um die Frage gehen, ob die Vorinstanz im kantonalen Beschwerdeverfahren zu Unrecht auf die Beschwerde nicht eingetreten ist. Damit befasst sich die Beschwerdeführerin vor Bundesgericht nicht. Stattdessen äussert sie sich in kaum nachvollziehbaren Ausführungen zur materiellen Seite der Angelegenheit. Aus ihren diversen Eingaben ergibt sich mithin nicht ansatzweise, inwiefern der Nichteintretensentscheid gegen das geltende Recht im Sinne von Art. 95 BGG verstossen könnte. Soweit sie sinngemäss den vorinstanzlichen Kostenentscheid anficht, vermag sie nicht zu sagen, inwiefern die Vorinstanz Art. 428 StPO unrichtig angewendet haben könnte. Sollte sie mit ihren Eingaben einen Kostenerlass verlangen wollen, hätte hierüber nicht das Bundesgericht erstinstanzlich zu entscheiden. Die Beschwerde genügt den Begründungsanforderungen nicht ( Art. 42 Abs. 2 BGG ). Der Begründungsmangel ist offensichtlich. Darauf ist im Verfahren nach Art. 108 BGG nicht einzutreten.</w:t>
      </w:r>
    </w:p>
    <w:p>
      <w:r>
        <w:rPr>
          <w:b/>
        </w:rPr>
        <w:t>E. 4</w:t>
      </w:r>
    </w:p>
    <w:p>
      <w:r>
        <w:t>Auf eine Kostenauflage kann ausnahmsweise verzichtet werden ( Art. 66 Abs. 1 BGG ). Ein allfälliges Gesuch um unentgeltliche Rechtspflege würde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