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6B_687/2015 vom 26. August 2015</w:t>
      </w:r>
    </w:p>
    <w:p>
      <w:r>
        <w:t>Bundesgericht, 2015-08-26, DE</w:t>
      </w:r>
    </w:p>
    <w:p>
      <w:r>
        <w:rPr>
          <w:b/>
        </w:rPr>
        <w:t xml:space="preserve">Quelle: </w:t>
      </w:r>
      <w:r>
        <w:t>https://mcp.opencaselaw.ch/entscheid/bger_6B_687_2015</w:t>
      </w:r>
    </w:p>
    <w:p>
      <w:r>
        <w:t>FR: TF 6B_687/2015 du 26 août 2015</w:t>
      </w:r>
    </w:p>
    <w:p>
      <w:r>
        <w:t>IT: TF 6B_687/2015 del 26 agosto 2015</w:t>
      </w:r>
    </w:p>
    <w:p>
      <w:pPr>
        <w:pStyle w:val="Heading2"/>
      </w:pPr>
      <w:r>
        <w:t>Erwägungen</w:t>
      </w:r>
    </w:p>
    <w:p>
      <w:r>
        <w:rPr>
          <w:b/>
        </w:rPr>
        <w:t>E. 1</w:t>
      </w:r>
    </w:p>
    <w:p>
      <w:r>
        <w:t>Staatsanwaltschaft des Kantons Basel-Stadt, Binningerstrasse 21, 4051 Basel,</w:t>
      </w:r>
    </w:p>
    <w:p>
      <w:r>
        <w:rPr>
          <w:b/>
        </w:rPr>
        <w:t>E. 2</w:t>
      </w:r>
    </w:p>
    <w:p>
      <w:r>
        <w:t>Der Beschwerdeführer macht geltend, die Vorinstanz sei nicht genügend auf die Verjährungsfristen eingegangen; alle Vergehen seien bereits seit längerer Zeit verjährt. Indessen erläutert er mit keinem Wort, inwieweit die Straftaten zum Zeitpunkt der unbestrittenermassen rechtskräftigen Strafverfügung bereits verjährt gewesen sein könnten. Auf die Beschwerde, die den Minimalanforderungen von Art. 42 Abs. 2 BGG nicht genügt, ist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