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6B_687/2011 vom 11. April 2012</w:t>
      </w:r>
    </w:p>
    <w:p>
      <w:r>
        <w:t>Bundesgericht, 2012-04-11, FR</w:t>
      </w:r>
    </w:p>
    <w:p>
      <w:r>
        <w:rPr>
          <w:b/>
        </w:rPr>
        <w:t xml:space="preserve">Quelle: </w:t>
      </w:r>
      <w:r>
        <w:t>https://mcp.opencaselaw.ch/entscheid/bger_6B_687_2011</w:t>
      </w:r>
    </w:p>
    <w:p>
      <w:r>
        <w:t>FR: TF 6B_687/2011 du 11 avril 2012</w:t>
      </w:r>
    </w:p>
    <w:p>
      <w:r>
        <w:t>IT: TF 6B_687/2011 del 11 aprile 2012</w:t>
      </w:r>
    </w:p>
    <w:p>
      <w:pPr>
        <w:pStyle w:val="Heading2"/>
      </w:pPr>
      <w:r>
        <w:t>Erwägungen</w:t>
      </w:r>
    </w:p>
    <w:p>
      <w:r>
        <w:rPr>
          <w:b/>
        </w:rPr>
        <w:t>E. 1</w:t>
      </w:r>
    </w:p>
    <w:p>
      <w:r>
        <w:t>Le recourant se plaint d'une violation du principe « in dubio pro reo » dans la mesure où l'autorité cantonale n'a pas admis, au bénéfice du doute, qu'il s'était écoulé moins de 20 minutes entre la dernière consommation d'alcool et le premier test effectué au moyen de l'éthylomètre, durée minimale exigée par l' art. 11 al. 1 let. a OCCR (RS 741.013). Il soutient par ailleurs que c'est également en violation de ce principe que l'autorité cantonale n'a pas retenu qu'il avait contesté l'alcoolémie constatée.</w:t>
      </w:r>
    </w:p>
    <w:p>
      <w:r>
        <w:t>Le recourant se plaint d'arbitraire et invoque une violation du principe « in dubio pro reo ».</w:t>
      </w:r>
    </w:p>
    <w:p>
      <w:r>
        <w:t>Le grief d'arbitraire et de violation du principe in dubio pro reo, tels qu'ils sont motivés en l'espèce, n'ont pas de portée distincte. A l'appui de l'un comme de l'autre, le recourant fait valoir que les faits retenus l'ont été ensuite d'une appréciation arbitraire des preuves.</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(cf. ATF 137 I 58 consid. 4.1.2 p. 62; sur la notion d'arbitraire, voir ATF 135 V 2 consid. 1.3 p. 4 s.). Le Tribunal fédéral n'examine les moyens fondés sur la violation d'un droit constitutionnel que s'ils ont été invoqués et motivés de manière précise ( art. 106 al. 2 LTF ). Les critiques de nature appellatoire sont irrecevables ( ATF 137 IV 1 consid. 4.3.2 p. 5).</w:t>
      </w:r>
    </w:p>
    <w:p>
      <w:r>
        <w:t>Le recourant fait valoir qu'il n'est pas établi qu'il s'est écoulé plus de 5 minutes entre la fin de sa consommation d'alcool et son départ en voiture et donc que l'on ne pouvait pas sans arbitraire admettre que le premier test d'haleine a été effectué 20 minutes au moins après qu'il a eu terminé de boire son dernier verre de vin. Il ne montre pas que le raisonnement de l'autorité cantonale, selon lequel il lui a fallu au moins cinq minutes pour se rendre au pied de l'immeuble accompagné de son amie et y reprendre sa voiture, serait insoutenable.</w:t>
      </w:r>
    </w:p>
    <w:p>
      <w:r>
        <w:t>De même, le recourant se borne à alléguer qu'en analysant avec perspicacité la marque apposée au bas de la formule, sous la rubrique signature, on constate qu'il est crédible qu'y figure, comme il le prétend, la mention « je conteste ». Une telle motivation ne satisfait pas aux exigences permettant au Tribunal fédéral d'entrer en matière sur un grief d'ordre constitutionnel.</w:t>
      </w:r>
    </w:p>
    <w:p>
      <w:r>
        <w:t>Par ailleurs, même suffisamment motivés ces griefs seraient mal fondés. En effet, il n'y a rien d'aberrant à considérer qu'un avocat qui, prié de signer un constat établi par la police, appose une marque sous la rubrique « signature » sans faire de commentaire signe le document et n'écrit pas de manière illisible « je conteste ». De même, il n'est pas insoutenable d'admettre qu'entre le moment où une personne absorbe la dernière gorgée d'un verre de vin et celui où elle démarre au volant de son véhicule, il s'est écoulé 5 minutes au minimum, temps nécessaire pour quitter l'appartement de son hôtesse, se faire raccompagner par elle au pied de l'immeuble et prendre congé d'elle.</w:t>
      </w:r>
    </w:p>
    <w:p>
      <w:r>
        <w:rPr>
          <w:b/>
        </w:rPr>
        <w:t>E. 2</w:t>
      </w:r>
    </w:p>
    <w:p>
      <w:r>
        <w:t>Le recourant se plaint en outre d'une violation de son droit à la preuve, garanti par les art. 8 CC et 29 Cst.</w:t>
      </w:r>
    </w:p>
    <w:p>
      <w:r>
        <w:t>Le grief est de toute évidence mal fondé dans la mesure où le recourant se prévaut de l' art. 8 CC , disposition qui régit le fardeau de la preuve en matière civile et n'est pas applicable à la présente cause qui relève du domaine pénal.</w:t>
      </w:r>
    </w:p>
    <w:p>
      <w:r>
        <w:t>Le droit d'être entendu, garanti par l' art. 29 al. 2 Cst. ,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2.1</w:t>
      </w:r>
    </w:p>
    <w:p>
      <w:r>
        <w:t>Le recourant reproche en premier lieu à l'autorité cantonale d'avoir refusé de procéder à l'audition de son amie, chez laquelle il a bu un verre de vin avant de reprendre le volant. Il soutient qu'elle aurait pu attester qu'il avait terminé de consommer de l'alcool juste avant de partir, c'est-à-dire moins de cinq minutes avant minuit. Or, il ressort de l'arrêt attaqué que l'autorité cantonale, qui avait convoqué le témoin lequel ne s'est pas présenté devant elle car il était absent de Genève, a renoncé à l'entendre car elle était en possession d'un courrier de sa part. Le recourant lui-même relève que la cour cantonale disposait de l'information qu'il avait bu le verre juste avant de partir et qu'il avait pris son véhicule lorsque minuit sonnait. On ne voit dès lors pas, et le recourant ne le montre pas non plus, quelles précisions l'audition du témoin aurait pu apporter qui soient propres à modifier l'appréciation de la cour cantonale.</w:t>
      </w:r>
    </w:p>
    <w:p>
      <w:r>
        <w:rPr>
          <w:b/>
        </w:rPr>
        <w:t>E. 2.2</w:t>
      </w:r>
    </w:p>
    <w:p>
      <w:r>
        <w:t>Le recourant soutient que l'autorité cantonale a violé son droit à la preuve au motif que ce n'est pas l'agent qui l'a interrogé pour établir le constat d'incapacité de conduire qui a été entendu en qualité de témoin, mais son collègue. L'arrêt attaqué mentionne que le gendarme qui a été auditionné, qui avait lui-même procédé au test, se trouvait à côté de son collègue durant toute la discussion et avait parfaitement entendu les déclarations du recourant, ce que ce dernier ne conteste au demeurant pas. Dans ces circonstances, l'autorité cantonale pouvait, sans violer l' art. 29 al. 2 Cst. , considérer que l'audition de son collègue n'était pas de nature à influer sur le sort de la cause.</w:t>
      </w:r>
    </w:p>
    <w:p>
      <w:r>
        <w:rPr>
          <w:b/>
        </w:rPr>
        <w:t>E. 3</w:t>
      </w:r>
    </w:p>
    <w:p>
      <w:r>
        <w:t>Vu l'issue de la procédure, les frais doivent être mis à la charge du recourant qui succombe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