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6B_685/2019 vom 4. Juli 2019</w:t>
      </w:r>
    </w:p>
    <w:p>
      <w:r>
        <w:t>Bundesgericht, 2019-07-04, DE</w:t>
      </w:r>
    </w:p>
    <w:p>
      <w:r>
        <w:rPr>
          <w:b/>
        </w:rPr>
        <w:t xml:space="preserve">Quelle: </w:t>
      </w:r>
      <w:r>
        <w:t>https://mcp.opencaselaw.ch/entscheid/bger_6B_685_2019</w:t>
      </w:r>
    </w:p>
    <w:p>
      <w:r>
        <w:t>FR: TF 6B_685/2019 du 4 juillet 2019</w:t>
      </w:r>
    </w:p>
    <w:p>
      <w:r>
        <w:t>IT: TF 6B_685/2019 del 4 luglio 2019</w:t>
      </w:r>
    </w:p>
    <w:p>
      <w:pPr>
        <w:pStyle w:val="Heading2"/>
      </w:pPr>
      <w:r>
        <w:t>Erwägungen</w:t>
      </w:r>
    </w:p>
    <w:p>
      <w:r>
        <w:rPr>
          <w:b/>
        </w:rPr>
        <w:t>E. 1</w:t>
      </w:r>
    </w:p>
    <w:p>
      <w:r>
        <w:t>Das Obergericht des Kantons Bern trat am 29. Mai 2019 auf eine Beschwerde androhungsgemäss nicht ein, weil der Beschwerdeführer die verlangte Sicherheit von Fr. 600.-- nicht fristgerecht geleistet hatte ( Art. 383 Abs. 2 StPO ). Auf das Ausstandsgesuch gegen die am Beschluss mitwirkende vorsitzende Oberrichterin trat es mangels Begründung ebenfalls nicht ein.</w:t>
      </w:r>
    </w:p>
    <w:p>
      <w:r>
        <w:t>Der Beschwerdeführer wendet sich an das Bundesgericht.</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Bestimmungen von Art. 95 ff. BGG nennen die vor Bundesgericht zulässigen Beschwerdegründe. Hinsichtlich der Verletzung von Grundrechten besteht eine qualifizierte Rügepflicht ( Art. 106 Abs. 2 BGG ).</w:t>
      </w:r>
    </w:p>
    <w:p>
      <w:r>
        <w:rPr>
          <w:b/>
        </w:rPr>
        <w:t>E. 3</w:t>
      </w:r>
    </w:p>
    <w:p>
      <w:r>
        <w:t>Gegenstand des vorliegenden Verfahrens bildet ausschliesslich die Frage, ob die Vorinstanz die Behandlung der Beschwerde von der Bezahlung einer Sicherheitsleistung abhängig machen durfte und ob sie darauf sowie auf das Ausstandsgesuch zu Unrecht nicht eintrat. Der Beschwerdeführer setzt sich damit nicht substanziiert auseinander. Er vermag mit seinen Ausführungen nicht nachvollziehbar und konkret aufzuzeigen, inwiefern der beanstandete Nichteintretensbeschluss verfassungs- und/oder sonstwie bundesrechtswidrig sein soll. Die Beschwerde genügt den gesetzlichen Begründungsanforderungen offensichtlich nicht. Darauf ist im Verfahren nach Art. 108 BGG nicht einzutreten.</w:t>
      </w:r>
    </w:p>
    <w:p>
      <w:r>
        <w:rPr>
          <w:b/>
        </w:rPr>
        <w:t>E. 4</w:t>
      </w:r>
    </w:p>
    <w:p>
      <w:r>
        <w:t>Bei diesem Ausgang des Verfahrens trägt der Beschwerdeführer die Gerichtskosten ( Art. 66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