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6B_684/2025 vom 14. Oktober 2025</w:t>
      </w:r>
    </w:p>
    <w:p>
      <w:r>
        <w:t>Bundesgericht, 2025-10-14, DE</w:t>
      </w:r>
    </w:p>
    <w:p>
      <w:r>
        <w:rPr>
          <w:b/>
        </w:rPr>
        <w:t xml:space="preserve">Quelle: </w:t>
      </w:r>
      <w:r>
        <w:t>https://mcp.opencaselaw.ch/entscheid/bger_6B_684_2025</w:t>
      </w:r>
    </w:p>
    <w:p>
      <w:r>
        <w:t>FR: TF 6B_684/2025 du 14 octobre 2025</w:t>
      </w:r>
    </w:p>
    <w:p>
      <w:r>
        <w:t>IT: TF 6B_684/2025 del 14 ottobre 2025</w:t>
      </w:r>
    </w:p>
    <w:p>
      <w:pPr>
        <w:pStyle w:val="Heading2"/>
      </w:pPr>
      <w:r>
        <w:t>Erwägungen</w:t>
      </w:r>
    </w:p>
    <w:p>
      <w:r>
        <w:rPr>
          <w:b/>
        </w:rPr>
        <w:t>E. 1</w:t>
      </w:r>
    </w:p>
    <w:p>
      <w:r>
        <w:t>Der Beschwerdeführer bestreitet seine Täterschaft und rügt, die Vorinstanz hätte die von ihm angebotenen, entlastenden Beweise abnehmen müssen. Ihre Beweiswürdigung sei willkürlich.</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w:t>
      </w:r>
    </w:p>
    <w:p>
      <w:r>
        <w:rPr>
          <w:b/>
        </w:rPr>
        <w:t>E. 1.1.2</w:t>
      </w:r>
    </w:p>
    <w:p>
      <w:r>
        <w:t>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Die Entscheidregel "in dubio pro reo"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138 V 74 E. 7 mit Hinweisen). Als Beweislastregel ist der Grundsatz verletzt, wenn das Gericht eine beschuldigte Person (einzig) mit der Begründung verurteilt, sie habe ihre Unschuld nicht nachgewiesen. Dies prüft das Bundesgericht mit freier Kognition ( BGE 144 IV 345 E. 2.2.3.3).</w:t>
      </w:r>
    </w:p>
    <w:p>
      <w:r>
        <w:rPr>
          <w:b/>
        </w:rPr>
        <w:t>E. 1.1.3</w:t>
      </w:r>
    </w:p>
    <w:p>
      <w:r>
        <w:t>Die Strafbehörden können ohne Verletzung des rechtlichen Gehörs und des Untersuchungsgrundsatzes ( Art. 29 Abs. 2 BV ; Art. 3 Abs. 2 lit. c, Art. 6 Abs. 1 und Art. 107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146 III 73 E. 5.2.2; 144 II 427 E. 3.1.3).</w:t>
      </w:r>
    </w:p>
    <w:p>
      <w:r>
        <w:rPr>
          <w:b/>
        </w:rPr>
        <w:t>E. 1.2.1</w:t>
      </w:r>
    </w:p>
    <w:p>
      <w:r>
        <w:t>Die Vorinstanz erachtet den Anklagesachverhalt und die Täterschaft des Beschwerdeführers als erstellt. Sie stützt sich dabei auf dessen Aussagen sowie diejenigen seines Vaters B.________ und des Polizeibeamten Adjunkt C.________. Gemäss den glaubhaften Schilderungen von B.________ habe ihn der Beschwerdeführer am Abend des 14. August 2021 angerufen und gefragt, ob er den Mercedes fahren dürfe. Er (B.________) habe dies dem Beschwerdeführer erlaubt. Aus den Aussagen von B.________ ergebe sich ferner, dass das in der Garage seines Hauses abgestellte Fahrzeug nicht beliebig durch Dritte habe genutzt werden können, sondern nur durch Personen, die auch einen Hausschlüssel hätten. Dies seien B.________, seine Ehefrau - welche das Fahrzeug aber nie benutzt habe - und der Beschwerdeführer. Dass Letzterer das Auto gelegentlich genutzt habe, sei nachvollziehbar, zumal das Fahrzeug deshalb auf die D.________ AG eingelöst sei, bei der der Beschwerdeführer, nicht aber dessen Bruder Samuel Eschler, beschäftigt sei. Zudem habe B.________ ausgeschlossen, dass jemand ohne sein Wissen Zugriff auf das Fahrzeug genommen habe. Nach seinen Angaben habe das Fahrzeug bereits dagestanden, als er und seine Ehefrau am Tatabend zwischen 23.00 Uhr und 0.00 Uhr nach Hause gekommen seien. Dies zwischen dem Militärjeep und einem weiteren Auto. Entgegen dem Einwand des Beschwerdeführers seien die Aussagen von dessen Vater glaubhaft. Es gebe keine Anzeichen dafür, dass er aus gesundheitlichen Gründen nicht aussagetüchtig gewesen wäre. Eine Befragung des Arztes von B.________ zu dessen damaligem Gesundheitszustand sei entbehrlich.</w:t>
      </w:r>
    </w:p>
    <w:p>
      <w:r>
        <w:rPr>
          <w:b/>
        </w:rPr>
        <w:t>E. 1.2.2</w:t>
      </w:r>
    </w:p>
    <w:p>
      <w:r>
        <w:t>Der Beschwerdeführer hat im Untersuchungsverfahren keine Aussagen gemacht, was die Vorinstanz neutral wertet. Indes mute es seltsam an, dass er nicht bereits damals geltend gemacht habe den Mercedes nicht gefahren zu haben. Zudem habe er im erstinstanzlichen und im Berufungsverfahren Positionen vertreten, die in sich selbst zum Teil widersprüchlich ausgefallen seien und im Gegensatz zu den sehr glaubhaften Schilderungen seines Vaters stehen würden. So habe der Beschwerdeführer erklärt, das Auto befinde sich entweder in der Garage seiner Eltern oder in einer frei zugänglichen Garage auf dem Firmengelände. Demgegenüber habe B.________ klar ausgesagt, das Fahrzeug befinde sich stets in der Garage seines Hauses, in der mehrere Fahrzeuge hintereinander abgestellt seien. Das Fahrzeug sei denn auch am Wohnort von B.________ polizeilich sichergestellt worden. Gemäss dessen Angaben sei das Garagentor ausserdem stets verschlossen, wenn er nicht zu Hause sei; das Öffnen des Tores sei deutlich hörbar. Im Widerspruch dazu habe der Beschwerdeführer behauptet, das Fahrzeug sei jederzeit frei zugänglich, da es sich - je nach Darstellung - entweder in der offenstehenden Garage seiner Eltern befinde oder in einer frei zugänglichen Nische in einer Werkhalle auf dem Firmengelände. Sodann habe der Beschwerdeführer vor der Erstinstanz nicht mit Bestimmtheit sagen können, wer sonst noch mit dem Mercedes fahre, denn es gebe sicher mehrere Fahrer, wer aber wann, wie und wo fahre, wisse er nicht. In der Berufungsverhandlung habe er hingegen betont, dass ausser seinem Vater - als Hauptlenker des Fahrzeugs - und ihm selbst auch sein Bruder, seine Partnerin und ein Mitarbeiter seines Bruders das Fahrzeug gelegentlich benutzt hätten. Es sei nicht überzeugend, dass der Beschwerdeführer als Geschäftsführer der Fahrzeughalterin nicht auf Anhieb habe sagen können, wer über das Fahrzeug verfügt habe. Ohnehin habe B.________ nur sich, seine Ehefrau und den Beschwerdeführer als mögliche Fahrer genannt und ausgeschlossen, dass Drittpersonen ohne sein Wissen das Fahrzeug benutzt hätten. Schliesslich zeige sich im Aussageverhalten des Beschwerdeführers in auffälliger Weise der Versuch, seine eigene Rolle im Geschehen zu relativieren und den Verdacht, das Fahrzeug am fraglichen Abend geführt zu haben, von sich auf Dritte zu lenken. Namentlich habe er im Berufungsverfahren seinen Bruder als möglichen Fahrzeuglenker ins Feld geführt. Indes seien die Geschwister trotz Ähnlichkeiten hinsichtlich Statur, Körpergrösse und Bartwuchs, insbesondere aufgrund des erkennbaren Altersunterschieds sowie der deutlich voneinander abweichenden Gesichtszüge, hinreichend unterscheidbar. Eine ernsthafte Verwechselbarkeit lasse sich nicht feststellen.</w:t>
      </w:r>
    </w:p>
    <w:p>
      <w:r>
        <w:rPr>
          <w:b/>
        </w:rPr>
        <w:t>E. 1.2.3</w:t>
      </w:r>
    </w:p>
    <w:p>
      <w:r>
        <w:t>Sodann habe der Polizeibeamte Adjunkt C.________ den Beschwerdeführer als Lenker des Mercedes identifiziert, als dieser das Fahrzeug in einer Distanz von ca. 30 Metern überraschend angehalten und mit einem Mitfahrer die Plätze getauscht habe. Entgegen dem Einwand des Beschwerdeführers seien die Lichtverhältnisse hierzu trotz einsetzender Dämmerung ausreichend gewesen. Auch die Entfernung, aus welcher der Beamte den Beschwerdeführer erkannt habe, stehe dessen zuverlässiger Identifizierung nicht entgegen. Der Beamte sei im Rahmen einer Kontrollmassnahme postiert und gezielt mit der Beobachtung und Identifizierung von Fahrzeuglenkern beauftragt gewesen. Es sei anzunehmen, dass er aufgrund seiner Ausbildung und praktischen Erfahrung über eine gesteigerte Wahrnehmungskompetenz im Umgang mit solchen Situationen verfügt habe und auch bei grenzwertigen Sichtverhältnissen in der Lage gewesen sei, Personenmerkmale zuverlässig zu erkennen und zuzuordnen. So habe der Beamte den Fahrzeuglenker denn auch detailliert beschrieben. Er habe konkrete äusserliche Merkmale genannt (männliche Person mit kurzen dunklen Haaren und einem Dreitagebart mit Oberlippenbart im Alter von ca. 40 bis 45 Jahren, dunkle Hose und grünes Oberteil), was auf eine bewusste und gezielte Wahrnehmung hindeute. In diesem Zusammenhang falle ins Gewicht, dass der Beamte den Fahrzeuglenker für zumindest mehrere Sekunden in einer statischen und visuell stabilen Situation habe beobachten können. An der Schlüssigkeit der Einschätzung des Zeugen ändere nichts, dass er die Mitfahrer - einen Mann und eine Frau - nicht näher habe beschreiben können. Es sei vielmehr nachvollziehbar, dass er sich auf den fehlbaren Lenker konzentriert habe. Auch der Umstand, dass der Beamte den Fahrzeuglenker später über Recherchen im Internet wiedererkannt habe, spreche nicht gegen die Glaubhaftigkeit seiner Wahrnehmung. Gerade weil der Beamte mit solchen Situationen beruflich vertraut sei und regelmässig unter vergleichbaren Bedingungen handle, sei davon auszugehen, dass er sich aktiv um eine möglichst sachliche Wahrnehmung bemüht habe. Dies spreche gegen die Annahme, er habe unbewusst lediglich eine vorgefasste Überzeugung bestätigt. Auf eine aussage- oder neuropsychologische Begutachtung, wie vom Beschwerdeführer beantragt, könne verzichtet werden.</w:t>
      </w:r>
    </w:p>
    <w:p>
      <w:r>
        <w:rPr>
          <w:b/>
        </w:rPr>
        <w:t>E. 1.3</w:t>
      </w:r>
    </w:p>
    <w:p>
      <w:r>
        <w:t>Die Erwägungen der Vorinstanz sind überzeugend.</w:t>
      </w:r>
    </w:p>
    <w:p>
      <w:r>
        <w:rPr>
          <w:b/>
        </w:rPr>
        <w:t>E. 1.3.1</w:t>
      </w:r>
    </w:p>
    <w:p>
      <w:r>
        <w:t>Entgegen der Auffassung des Beschwerdeführers verfällt die Vorinstanz nicht in Willkür, wenn sie seine Täterschaft hinsichtlich der angeklagten Raserfahrt als erwiesen erachtet. Zwar ist ihm zuzustimmen, dass die Aussagen des Polizeibeamten Adjunkt C.________ alleine hierzu kaum genügen würden, zumal dieser den Fahrer lediglich aus einer Distanz von rund 30 Metern beobachten konnte und insbesondere der vom Beschwerdeführer später als Fahrer genannte Bruder eine grosse Ähnlichkeit mit diesem aufweist. Die Vorinstanz berücksichtigt aber ausserdem die Aussagen von B.________, welche sie nachvollziehbar als zuverlässig, detailliert und glaubhaft beurteilt, und diejenigen des Beschwerdeführers selbst. Es steht daher fest, dass der Beschwerdeführer seinen Vater am Tatabend um Erlaubnis fragte, den Mercedes benutzen zu dürfen. Ferner nimmt die Vorinstanz nachvollziehbar an, dass ausser dem Beschwerdeführer - und seinem Vater, der am Tatabend nach eigenen Angaben ein anderes Fahrzeug benutzte - keine anderen Personen als Fahrer in Frage kommen. Dies gilt insbesondere für den Bruder des Beschwerdeführers oder dessen Mitarbeiter. Die Vorinstanz verwirft dieses Vorbringen zu Recht als Schutzbehauptung. In der Tat ist es nicht nachvollziehbar, dass der Beschwerdeführer diesen Einwand erst im gerichtlichen Verfahren erhoben hat, wenn er denn zutreffen würde. Ebenso wenig leuchtet ein, weshalb der Beschwerdeführer mögliche Fahrer nicht sogleich nennen konnte und insbesondere, weshalb er den angeblich fehlbaren Fahrer nicht nannte. Der Beschwerdeführer bringt hierfür bis heute keine Erklärung bei. Der vorinstanzliche Schluss auf seine Täterschaft ist nicht zu beanstanden.</w:t>
      </w:r>
    </w:p>
    <w:p>
      <w:r>
        <w:rPr>
          <w:b/>
        </w:rPr>
        <w:t>E. 1.3.2</w:t>
      </w:r>
    </w:p>
    <w:p>
      <w:r>
        <w:t>Was der Beschwerdeführer sonst vorbringt, ändert am Beweisergebnis nichts. Er beschränkt sich darauf, seine bereits vor Vorinstanz vorgebrachten Rügen zu wiederholen, was zum Nachweis von Willkür nicht genügt (vgl. oben E. 1.1.1). Dies ist insbesondere der Fall, wenn er neuerlich geltend macht, sein Vater habe aufgrund schwerer Krankheit keine zuverlässigen Angaben zum Fahrer des Mercedes am Tatabend machen können. Ausserdem sei er erst Monate nach der Tat befragt worden. Die Vorinstanz begründet überzeugend, weshalb sie die Aussagen des Vaters des Beschwerdeführers für glaubhaft erachtet und darauf abstellt. Darauf kann verwiesen werden. Im Übrigen leuchtet nicht ein, weshalb die Krebs- und Herzerkrankung von B.________ diesen daran gehindert haben sollen, zuverlässige Angaben zum Ablauf des Tatabends aus seiner Sicht zu machen. Eine kognitive Beeinträchtigung ergibt sich daraus nicht und zeigt der Beschwerdeführer nicht auf. Wenn der Beschwerdeführer sodann geltend macht, eine Befragung seiner Mutter hätte bestätigt, dass im Tatzeitraum auch sein Bruder das Fahrzeug benutzt habe und dass dieses üblicherweise auf dem Firmengelände geparkt worden sei, nimmt er lediglich eine eigene Beweiswürdigung vor. Gleiches gilt für die weiteren beantragten Zeugen. So sollen die Ehefrau des Beschwerdeführers und dessen Bruder bestätigen, dass weitere Personen das Fahrzeug genutzt haben und am Tatabend benutzt haben könnten. Selbst wenn dies zutreffen würde, verblieben an der Täterschaft des Beschwerdeführers keine ernsthaften, nicht zu unterdrückenden Zweifel, die zu einem Freispruch führen müssten. Es steht dennoch willkürfrei fest, dass der Beschwerdeführer am Tatabend seinen Vater darum bat, den Mercedes benutzen zu dürfen. Es ist daher naheliegend, jedenfalls aber nicht unhaltbar anzunehmen, dass er auch der fehlbare Fahrer war. Die Vorinstanz durfte ohne Willkür oder Verletzung des rechtlichen Gehörs auf die Befragung der Zeugen verzichten. Auch, soweit der Beschwerdeführer das Abstellen auf die Aussagen des Polizeibeamten Adjunkt C.________ kritisiert, handelt es sich um eine appellatorische Kritik am angefochtenen Entscheid. Mit dem Einwand, eine Identifizierung sei aufgrund der Distanz und der einsetzenden Dämmerung nicht möglich gewesen, hat sich die Vorinstanz auseinandergesetzt. Wie bereits dargelegt (oben E. 1.3.1), verkennt der Beschwerdeführer mit seiner Kritik zudem, dass die Vorinstanz zum Nachweis seiner Täterschaft schwergewichtig auf die Aussagen seines Vaters - und seine eigenen widersprüchlichen Einlassungen - abstellt. Darauf ist nicht neuerlich einzugehen. Die Vorinstanz schliesst insbesondere den Bruder des Beschwerdeführers als fehlbaren Fahrer nachvollziehbar aus. Sie durfte auf die beantragten Gutachten zur Aussagequalität des Beamten Adjunkt C.________ verzichten. Damit hat es sein Bewenden.</w:t>
      </w:r>
    </w:p>
    <w:p>
      <w:r>
        <w:rPr>
          <w:b/>
        </w:rPr>
        <w:t>E. 2</w:t>
      </w:r>
    </w:p>
    <w:p>
      <w:r>
        <w:t>Der Beschwerdeführer kritisiert die Strafzumessung.</w:t>
      </w:r>
    </w:p>
    <w:p>
      <w:r>
        <w:rPr>
          <w:b/>
        </w:rPr>
        <w:t>E. 2.1.1</w:t>
      </w:r>
    </w:p>
    <w:p>
      <w:r>
        <w:t>Mit Freiheitsstrafe von einem bis zu vier Jahren wird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 Art. 90 Abs. 3 SVG ). Der Täter kann bei Widerhandlungen gemäss Absatz 3 mit Freiheitsstrafe bis zu vier Jahren oder Geldstrafe bestraft werden, wenn er nicht innerhalb der letzten zehn Jahre vor der Tat wegen eines Verbrechens oder Vergehens im Strassenverkehr mit ernstlicher Gefahr für die Sicherheit anderer, respektive mit Verletzung oder Tötung anderer verurteilt wurde ( Art. 90 Abs. 3ter SVG ). Eine besonders krasse Missachtung der zulässigen Höchstgeschwindigkeit liegt vor, wenn diese um mindestens 60 km/h überschritten wird, wo die Höchstgeschwindigkeit höchstens 80 km/h beträgt ( Art. 90 Abs. 4 lit. c SVG ).</w:t>
      </w:r>
    </w:p>
    <w:p>
      <w:r>
        <w:rPr>
          <w:b/>
        </w:rPr>
        <w:t>E. 2.1.2</w:t>
      </w:r>
    </w:p>
    <w:p>
      <w:r>
        <w:t>Das Bundesgericht hat die Grundsätze der Strafzumessung nach Art. 47 ff. StGB wiederholt dargelegt ( BGE 149 IV 217 E. 1.1; 144 IV 313 E. 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6B_1239/2023 vom 22. Januar 2024 E. 1.1.1).</w:t>
      </w:r>
    </w:p>
    <w:p>
      <w:r>
        <w:rPr>
          <w:b/>
        </w:rPr>
        <w:t>E. 2.2</w:t>
      </w:r>
    </w:p>
    <w:p>
      <w:r>
        <w:t>Es ist unbestritten, dass das Verhalten des Beschwerdeführers den Straftatbestand nach Art. 90 Abs. 3 i.V.m. Abs. 4 lit. c SVG erfüllt, wobei er die zulässige Höchstgeschwindigkeit um mindestens 71 km/h überschritten hat. Die Vorinstanz erwägt, zwar seien erheblich gravierendere Verstösse denkbar, und die Sicht- und Strassenverhältnisse seien zum Tatzeitpunkt günstig gewesen. Dies entlaste den Beschwerdeführer aber nicht. Zudem sei auf der für solche Geschwindigkeiten nicht ausgelegten Strasse durchaus ein gewisses Verkehrsaufkommen vorhanden und auch mit Fahrradfahrern, Fussgängern und Wildtieren - zumal wie hier abends - zu rechnen gewesen. Vor diesem Hintergrund sei das objektive Tatverschulden innerhalb des massgebenden Strafrahmens und relativ zum Unrechtsgehalt als nicht mehr leicht bis mittelschwer einzuschätzen. In Bezug auf die subjektive Tatschwere seien keine Umstände erkennbar, die die Tat nachvollziehbar oder in einem günstigen Licht erscheinen liessen. Umgekehrt sei auch keine höhere kriminelle Energie festzustellen, als für eine qualifiziert grobe Verkehrsregelverletzung erforderlich sei. Angesichts des nicht mehr leichten bis mittelschweren Verschuldens und in Relation zum Strafrahmen von Geldstrafe oder Freiheitsstrafe bis zu vier Jahren erschienen eine Freiheitsstrafe von zwölf Monaten sowie eine Verbindungsbusse als in ihrer Gesamtheit angemessene Sanktion. Eine Geldstrafe, welche maximal 180 Tagessätze betragen könne, sei aufgrund des Verschuldens nicht möglich. Die Anwendbarkeit von Art. 90 Abs. 3ter SVG führe - wie auch bei Strafmilderungsgründen allgemein - nicht dazu, dass die Mindeststrafe von einem Jahr Freiheitsstrafe zwingend zu unterschreiten wäre. Es bestehe auch kein Anspruch darauf, als Ersttäter bloss mit einer Geldstrafe bestraft zu werden. Täterbezogene Straferhöhungs- oder -minderungsgründe würden nicht vorliegen. Aufgrund einer Verletzung des Beschleunigungsgebots sei die Strafe indes um einen Monat auf elf Monate Freiheitsstrafe zu reduzieren.</w:t>
      </w:r>
    </w:p>
    <w:p>
      <w:r>
        <w:rPr>
          <w:b/>
        </w:rPr>
        <w:t>E. 2.3</w:t>
      </w:r>
    </w:p>
    <w:p>
      <w:r>
        <w:t>Die Strafzumessung ist nicht zu beanstanden. Der Beschwerdeführer zeigt nicht auf, dass die Vorinstanz das ihr zustehende Ermessen missbraucht hätte, indem sie zum Schluss gelangt, eine Freiheitsstrafe von einem Jahr - resp. unter Berücksichtigung der überlangen Vefahrensdauer von elf Monaten - sei angemessen. Die Vorinstanz liegt damit ohne Weiteres innerhalb des gesetzlichen Strafrahmens bei einem nicht mehr leichten bis mittelschweren Verschulden. Der Beschwerdeführer behauptet nicht, dass nur eine Geldstrafe angemessen gewesen wäre. Er kritisiert, dass ab einer Freiheitsstrafe von einem Jahr ein deutlich längerer Führerausweisentzug drohe als darunter, was die Vorinstanz ausser Acht gelassen habe. Es ist nicht zu beanstanden, dass die Vorinstanz den administrativen Folgen des vorliegenden Verfahrens, namentlich der voraussichtlichen Dauer eines Führerausweisentzuges, bei der Strafzumessung nicht strafmindernd Rechnung getragen hat. Eine entsprechende Pflicht besteht nicht. Aus den vom Beschwerdeführer zitierten Urteilen (6B_26/2016 vom 6. Juni 2016 E. 4.3 und 6B_1039/2021 vom 14. Januar 2022 E. 2.2) ergibt sich nichts Anderes. Ohnehin liegt die ausgefällte Strafe weiterhin klar innerhalb des vorinstanzlichen Ermessens und ist im Ergebnis bundesrechtskonform. Es schadet daher auch nicht, dass sich die Vorinstanz zu den persönlichen oder wirtschaftlichen Folgen eines Führerausweisentzugs für den nach eigenen Angaben im Transportgewerbe tätigen Beschwerdeführer nicht ausdrücklich geäussert hat (oben E. 2.1.2). Immerhin hat die Vorinstanz festgestellt, dass keine täterbezogenen Straferhöhungs- oder Strafminderungsgründe vorliegen würden. Damit genügt sie ihrer Begründungspflicht. Zur Verbindungsbusse äussert sich der Beschwerdeführer nicht. Darauf ist nicht einzugehen.</w:t>
      </w:r>
    </w:p>
    <w:p>
      <w:r>
        <w:rPr>
          <w:b/>
        </w:rPr>
        <w:t>E. 3</w:t>
      </w:r>
    </w:p>
    <w:p>
      <w:r>
        <w:t>Das angefochtene Urteil ist rechtens. 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