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684/2019 vom 17. Juni 2019</w:t>
      </w:r>
    </w:p>
    <w:p>
      <w:r>
        <w:t>Bundesgericht, 2019-06-17, DE</w:t>
      </w:r>
    </w:p>
    <w:p>
      <w:r>
        <w:rPr>
          <w:b/>
        </w:rPr>
        <w:t xml:space="preserve">Quelle: </w:t>
      </w:r>
      <w:r>
        <w:t>https://mcp.opencaselaw.ch/entscheid/bger_6B_684_2019</w:t>
      </w:r>
    </w:p>
    <w:p>
      <w:r>
        <w:t>FR: TF 6B 684/2019 du 17 juin 2019</w:t>
      </w:r>
    </w:p>
    <w:p>
      <w:r>
        <w:t>IT: TF 6B 684/2019 del 17 giugno 2019</w:t>
      </w:r>
    </w:p>
    <w:p>
      <w:pPr>
        <w:pStyle w:val="Heading2"/>
      </w:pPr>
      <w:r>
        <w:t>Regeste</w:t>
      </w:r>
    </w:p>
    <w:p>
      <w:r>
        <w:t>Einstellung (unrechtmässiges Vereinnahmen von Mietzinsen); Nichteintreten | Strafprozess</w:t>
      </w:r>
    </w:p>
    <w:p>
      <w:pPr>
        <w:pStyle w:val="Heading2"/>
      </w:pPr>
      <w:r>
        <w:t>Erwägungen</w:t>
      </w:r>
    </w:p>
    <w:p>
      <w:r>
        <w:rPr>
          <w:b/>
        </w:rPr>
        <w:t>E. 1</w:t>
      </w:r>
    </w:p>
    <w:p>
      <w:r>
        <w:t>Die Staatsanwaltschaft Bern-Mittelland stellte das vom Beschwerdeführer angestrebte Strafverfahren am 16. April 2019 ein. Auf eine dagegen gerichtete Beschwerde trat das Obergericht des Kantons Bern aus formellen Gründen mit Beschluss vom 9. Mai 2019 nicht ein. Der Beschwerdeführer wendet sich an das Bundesgericht.</w:t>
      </w:r>
    </w:p>
    <w:p>
      <w:r>
        <w:rPr>
          <w:b/>
        </w:rPr>
        <w:t>E. 2</w:t>
      </w:r>
    </w:p>
    <w:p>
      <w:r>
        <w:t>Gemäss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3</w:t>
      </w:r>
    </w:p>
    <w:p>
      <w:r>
        <w:t>Der Beschwerdeführer befasst sich vor Bundesgericht ausschliesslich mit der materiellen Seite der Angelegenheit, welche nicht Gegenstand des Verfahrens vor Vorinstanz bildete und mit welcher sich das Bundesgericht folglich nicht befassen kann. Sein Hinweis auf neue Tatsachen in der Sache ist unzulässig ( Art. 99 BGG ). Zu den formellen Gründen, aus welchen die Vorinstanz auf das kantonale Rechtsmittel nicht eingetreten ist, äussert sich der Beschwerdeführer hingegen mit keinem Wort. Seine Beschwerde genügt den Begründungsanforderungen von Art. 42 Abs. 2 BGG nicht. Daraus ergibt sich nicht, inwiefern die Vorinstanz mit ihrer Nichteintretensverfügung geltendes Recht im Sinne von Art. 95 BGG verletzt haben könnte. Auf die Beschwerde ist im Verfahren nach Art. 108 BGG nicht einzutreten.</w:t>
      </w:r>
    </w:p>
    <w:p>
      <w:r>
        <w:rPr>
          <w:b/>
        </w:rPr>
        <w:t>E. 4</w:t>
      </w:r>
    </w:p>
    <w:p>
      <w:r>
        <w:t>Auf eine Kostenauflage kann ausnahmsweise verzichtet werden ( Art. 66 Abs. 1 BGG ). Das Gesuch um unentgeltliche Rechtspflege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