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6B_682/2018 vom 20. September 2018</w:t>
      </w:r>
    </w:p>
    <w:p>
      <w:r>
        <w:t>Bundesgericht, 2018-09-20, FR</w:t>
      </w:r>
    </w:p>
    <w:p>
      <w:r>
        <w:rPr>
          <w:b/>
        </w:rPr>
        <w:t xml:space="preserve">Quelle: </w:t>
      </w:r>
      <w:r>
        <w:t>https://mcp.opencaselaw.ch/entscheid/bger_6B_682_2018</w:t>
      </w:r>
    </w:p>
    <w:p>
      <w:r>
        <w:t>FR: TF 6B_682/2018 du 20 septembre 2018</w:t>
      </w:r>
    </w:p>
    <w:p>
      <w:r>
        <w:t>IT: TF 6B_682/2018 del 20 settembre 2018</w:t>
      </w:r>
    </w:p>
    <w:p>
      <w:pPr>
        <w:pStyle w:val="Heading2"/>
      </w:pPr>
      <w:r>
        <w:t>Erwägungen</w:t>
      </w:r>
    </w:p>
    <w:p>
      <w:r>
        <w:rPr>
          <w:b/>
        </w:rPr>
        <w:t>E. 1</w:t>
      </w:r>
    </w:p>
    <w:p>
      <w:r>
        <w:t>Par décision du 23 mai 2018, la Chambre de recours pénale de la Cour suprême du canton de Berne a rejeté le recours de X.________ contre la décision PEN 2017 858 du Tribunal régional Jura bernois-Seeland du 16 novembre 2017 ayant déclaré tardive et irrecevable l'opposition que le prénommé a formée le 16 août 2017 (timbre postal) contre l'ordonnance pénale BJS 17 14202 rendue à son encontre le 21 juin 2017 et notifiée le 5 juillet 2017 pour infraction à la loi sur la circulation routière.</w:t>
      </w:r>
    </w:p>
    <w:p>
      <w:r>
        <w:rPr>
          <w:b/>
        </w:rPr>
        <w:t>E. 2</w:t>
      </w:r>
    </w:p>
    <w:p>
      <w:r>
        <w:t>X.________ recourt en matière pénale au Tribunal fédéral contre la décision cantonale.</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En bref, une décision n'est pas arbitraire du seul fait qu'elle apparaît discutable ou même critiquable; il faut qu'elle soit manifestement insoutenable, et cela non seulement dans sa motivation mais aussi dans son résultat ( ATF 143 IV 500 consid. 1.1 p. 503;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143 IV 500 consid. 1.1 p. 503; 142 III 364 consid. 2.4 p. 368). Les critiques de nature appellatoire sont irrecevables ( ATF 142 III 364 consid. 2.4 p. 368 et les références citées).</w:t>
      </w:r>
    </w:p>
    <w:p>
      <w:r>
        <w:t>En l'occurrence, le recourant déclare, sans autre développement, maintenir le point de vue défendu en instance cantonale, par quoi il convient d'entendre qu'il conteste avoir reçu dans sa boîte à lettres un avis l'invitant à retirer le pli recommandé relatif à l'ordonnance pénale litigieuse. Ce faisant, il ne se détermine pas de manière recevable sur le prononcé d'irrecevabilité frappant son opposition à l'ordonnance précitée. En particulier, il ne démontre pas en quoi la cour cantonale aurait retenu de manière arbitraire qu'il ressortait de l'extrait Track &amp; Trace du suivi des envois de La Poste suisse que l'ordonnance pénale BJS 17 14202 du 21 juin 2017 lui avait été envoyée par courrier recommandé (cf. consid. 2.3 de la décision attaquée). Un avis de retrait a donc été remis et le recourant ne fournit aucun indice que tel ne serait pas le cas. A défaut de toute explication, son argumentaire est clairement insuffisant au regard des exigences minimales de motivation d'un recours en matière pénale au Tribunal fédéral susmentionnées.</w:t>
      </w:r>
    </w:p>
    <w:p>
      <w:r>
        <w:rPr>
          <w:b/>
        </w:rPr>
        <w:t>E. 3</w:t>
      </w:r>
    </w:p>
    <w:p>
      <w:r>
        <w:t>Sur le vu de ce qui précède, le recours doit être écarté en application de la procédure simplifiée prévue à l' art. 108 al. 1 let.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