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682/2017 vom 11. Dezember 2017</w:t>
      </w:r>
    </w:p>
    <w:p>
      <w:r>
        <w:t>Bundesgericht, 2017-12-11, FR</w:t>
      </w:r>
    </w:p>
    <w:p>
      <w:r>
        <w:rPr>
          <w:b/>
        </w:rPr>
        <w:t xml:space="preserve">Quelle: </w:t>
      </w:r>
      <w:r>
        <w:t>https://mcp.opencaselaw.ch/entscheid/bger_6B_682_2017</w:t>
      </w:r>
    </w:p>
    <w:p>
      <w:r>
        <w:t>FR: TF 6B 682/2017 du 11 décembre 2017</w:t>
      </w:r>
    </w:p>
    <w:p>
      <w:r>
        <w:t>IT: TF 6B 682/2017 del 11 dicembre 2017</w:t>
      </w:r>
    </w:p>
    <w:p>
      <w:pPr>
        <w:pStyle w:val="Heading2"/>
      </w:pPr>
      <w:r>
        <w:t>Regeste</w:t>
      </w:r>
    </w:p>
    <w:p>
      <w:r>
        <w:t>Sursis à l'exécution de la peine | Infractions</w:t>
      </w:r>
    </w:p>
    <w:p>
      <w:pPr>
        <w:pStyle w:val="Heading2"/>
      </w:pPr>
      <w:r>
        <w:t>Erwägungen</w:t>
      </w:r>
    </w:p>
    <w:p>
      <w:r>
        <w:rPr>
          <w:b/>
        </w:rPr>
        <w:t>E. 1</w:t>
      </w:r>
    </w:p>
    <w:p>
      <w:r>
        <w:t>Le recourant reproche à la cour cantonale de ne pas lui avoir accordé un sursis complet à l'exécution de sa peine privative de liberté.</w:t>
      </w:r>
    </w:p>
    <w:p>
      <w:r>
        <w:rPr>
          <w:b/>
        </w:rPr>
        <w:t>E. 1.1</w:t>
      </w:r>
    </w:p>
    <w:p>
      <w:r>
        <w:t>Selon l' art. 42 al. 1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 art. 43 al. 1 CP prévoit que le juge peut suspendre partiellement l'exécution d'une peine pécuniaire, d'un travail d'intérêt général ou d'une peine privative de liberté d'un an au moins et de trois ans au plus afin de tenir compte de façon appropriée de la faute de l'auteur. Lorsque la durée de la peine privative de liberté se situe, comme en l'espèce,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 ATF 134 IV 1 consid. 5.3.1 p. 10). Selon la jurisprudence, les conditions subjectives auxquelles l' art. 42 CP soumet l'octroi du sursis intégral s'appliquent également à l'octroi du sursis partiel ( ATF 139 IV 270 consid. 3.3 p. 277;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ATF 134 IV 1 consid. 4.2.1 p. 5). Le défaut de prise de conscience de la faute peut justifier un pronostic défavorable, car seul celui qui se repent de son acte mérite la confiance que l'on doit pouvoir accorder au condamné bénéficiant du sursis ( ATF 82 IV 81 ; arrêt 6B_186/2017 du 5 septembre 2017 consid. 3.1). Le juge dispose d'un large pouvoir d'appréciation dans l'émission du pronostic. Le Tribunal fédéral n'intervient que s'il en a abusé, notamment lorsqu'il a omis de tenir compte de critères pertinents et s'est fondé exclusivement sur les antécédents du condamné ( ATF 134 IV 140 consid. 4.2 p. 143; 133 IV 201 consid. 2.3 p. 204).</w:t>
      </w:r>
    </w:p>
    <w:p>
      <w:r>
        <w:rPr>
          <w:b/>
        </w:rPr>
        <w:t>E. 1.2</w:t>
      </w:r>
    </w:p>
    <w:p>
      <w:r>
        <w:t>La cour cantonale a considéré que le pronostic quant au comportement futur du recourant était "franchement défavorable". Elle a précisé que la peine privative de liberté à laquelle il devait être condamné ne pouvait être assortie d'un sursis complet, d'une part, et que, d'autre part, l'octroi du sursis partiel était acquis au recourant en raison de l'absence d'un appel du ministère public à cet égard. Ce faisant, l'autorité précédente s'est implicitement référée au pronostic formulé par le tribunal de première instance, lequel avait jugé celui-ci "assez défavorable" en se fondant essentiellement sur les antécédents de l'intéressé ainsi que sur son absence d'amendement. On comprend donc de l'arrêt attaqué que la cour cantonale a estimé que les perspectives, s'agissant du recourant, étaient plus sombres que celles envisagées par l'autorité de première instance, sans qu'elle puisse toutefois revenir sur l'octroi d'un sursis partiel.</w:t>
      </w:r>
    </w:p>
    <w:p>
      <w:r>
        <w:rPr>
          <w:b/>
        </w:rPr>
        <w:t>E. 1.3</w:t>
      </w:r>
    </w:p>
    <w:p>
      <w:r>
        <w:t>Le recourant reproche à la cour cantonale d'avoir motivé le refus d'octroi d'un sursis complet en se fondant notamment sur sa faute, critère qui, selon lui, ne serait pas pertinent. Cet argument procède d'une lecture biaisée de l'arrêt attaqué. En effet, la cour cantonale a, dans un considérant unique partagé en divers paragraphes, procédé à la fixation de la peine puis à l'examen des conditions du sursis. La faute du recourant est certes évoquée, mais l'on comprend de l'arrêt attaqué qu'il s'agit de l'un des éléments considérés dans le cadre de la fixation de la peine, conformément à l' art. 47 CP . Ce critère n'est en revanche pas répété dans le paragraphe consacré à la question du pronostic et du sursis. Au demeurant, à supposer même que la cour cantonale eût entendu prendre en compte cet élément dans la formulation de son pronostic, l'argument du recourant tomberait à faux. En effet, l' art. 43 al. 1 CP , dont a fait application l'autorité précédente, vise précisément à permettre au juge de tenir compte de façon appropriée de la faute de l'auteur. En outre, parmi les critères à prendre en compte pour la formulation du pronostic figurent les circonstances de l'infraction (cf. consid. 1.1 supra). En évoquant le danger créé par la conduite du recourant et sa motivation, la cour cantonale se serait de toute manière référée à des éléments pertinents en la matière.</w:t>
      </w:r>
    </w:p>
    <w:p>
      <w:r>
        <w:rPr>
          <w:b/>
        </w:rPr>
        <w:t>E. 1.4</w:t>
      </w:r>
    </w:p>
    <w:p>
      <w:r>
        <w:t>Le recourant reproche à la cour cantonale d'avoir retenu, d'une part, que sa collaboration à la procédure avait été "sans particularité", car il avait dû admettre les faits établis par un radar et des photographies, et, d'autre part, que sa prise de conscience n'était que limitée dès lors qu'il avait surtout retenu - comme conséquences de ses agissements - les inconvénients liés au retrait de son permis de conduire. Sur ce point également, le recourant s'attaque à des considérations dont on comprend qu'elles ont été développées par la cour cantonale à propos de l' art. 47 CP et non de la question du sursis. Quoi qu'il en soit, le recourant procède à des extrapolations dénuées de pertinence, fondées sur une phrase de l'arrêt attaqué. L'autorité précédente a entendu indiquer que la collaboration du recourant était "sans particularité" car celui-ci n'aurait guère pu nier des éléments ressortant d'emblée de moyens de preuves solides. Cette observation n'impliquait aucunement que les aveux d'un prévenu ne pourraient généralement être pris en compte dans la formulation d'un pronostic que s'ils permettaient d'établir les faits. Par ailleurs, contrairement à ce que soutient le recourant, son attitude en procédure n'a pas été retenue comme un facteur défavorable par la cour cantonale, celle-ci ayant seulement indiqué que sa collaboration n'avait rien de particulier. Pour le reste, le recourant n'avance aucun élément propre à contredire l'appréciation de la cour cantonale selon laquelle sa prise de conscience n'avait été que limitée.</w:t>
      </w:r>
    </w:p>
    <w:p>
      <w:r>
        <w:rPr>
          <w:b/>
        </w:rPr>
        <w:t>E. 1.5</w:t>
      </w:r>
    </w:p>
    <w:p>
      <w:r>
        <w:t>Le recourant fait enfin grief à la cour cantonale d'avoir accordé un poids disproportionné à ses antécédents et de n'avoir pas tenu compte du fait qu'il n'avait pas été condamné, par le passé, pour excès de vitesse, ni du fait qu'il aurait cessé de boire après qu'il eut été condamné en 2011 pour conduite en état d'ivresse. S'agissant des antécédents du recourant, la cour cantonale a exposé que ceux-ci étaient "mauvais et spécifiques", dès lors qu'il avait été condamné en 2007 pour violation des obligations en cas d'accident et lésions corporelles par négligence, ainsi qu'en 2011 pour violation grave des règles de la circulation routière - en raison d'une alcoolémie qualifiée au volant - et violation des devoirs en cas d'accident. Le fait que le recourant n'ait pas été condamné par le passé pour excès de vitesse permet certes d'estimer que celui-ci n'entretient pas un rapport pathologique avec la vitesse. Il ne saurait pour autant être regardé, comme il le prétend, comme un "primo délinquant" en matière de conduite. En effet, la conduite en état d'ébriété qualifié, tout comme l'important excès de vitesse auquel s'est livré le recourant, dénote un mépris des règles de la circulation routière ainsi que l'acceptation de créer de graves risques pour les autres usagers. Le fait que, d'une condamnation à l'autre, le recourant ait mis en danger les usagers de la route de différentes manières ne saurait ainsi plaider en faveur d'un pronostic favorable. Le recourant prétend ensuite que son abstinence en matière d'alcool depuis sa condamnation de 2011 permettrait de retenir, chez lui, une capacité d'amendement qui existerait en conséquence également à l'égard de son excès de vitesse. Cet aspect n'a pas la pertinence que le recourant lui accorde. Il apparaît que ce dernier, en dépit de la condamnation précitée, a à nouveau mis en danger les usagers en contrevenant aux règles de la circulation routière. On ne voit pas, partant, que la cour cantonale aurait abusé de son large pouvoir d'appréciation en matière de pronostic en ne considérant pas que le recourant jouissait, malgré ses antécédents, d'une capacité d'amendement telle qu'elle interdirait la formulation d'un pronostic défavorable. Il découle de ce qui précède que la cour cantonale n'a pas violé le droit fédéral en assortissant la peine privative de liberté du recourant d'un sursis partiel à l'exécution. Le grief doit être rejeté.</w:t>
      </w:r>
    </w:p>
    <w:p>
      <w:r>
        <w:rPr>
          <w:b/>
        </w:rPr>
        <w:t>E. 2</w:t>
      </w:r>
    </w:p>
    <w:p>
      <w:r>
        <w:t>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