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682/2008 vom 16. Februar 2009</w:t>
      </w:r>
    </w:p>
    <w:p>
      <w:r>
        <w:t>Bundesgericht, 2009-02-16, DE</w:t>
      </w:r>
    </w:p>
    <w:p>
      <w:r>
        <w:rPr>
          <w:b/>
        </w:rPr>
        <w:t xml:space="preserve">Quelle: </w:t>
      </w:r>
      <w:r>
        <w:t>https://mcp.opencaselaw.ch/entscheid/bger_6B_682_2008</w:t>
      </w:r>
    </w:p>
    <w:p>
      <w:r>
        <w:t>FR: TF 6B 682/2008 du 16 février 2009</w:t>
      </w:r>
    </w:p>
    <w:p>
      <w:r>
        <w:t>IT: TF 6B 682/2008 del 16 febbraio 2009</w:t>
      </w:r>
    </w:p>
    <w:p>
      <w:pPr>
        <w:pStyle w:val="Heading2"/>
      </w:pPr>
      <w:r>
        <w:t>Regeste</w:t>
      </w:r>
    </w:p>
    <w:p>
      <w:r>
        <w:t>Rückversetzung in den Strafvollzug | Straf- und Massnahmenvollzug</w:t>
      </w:r>
    </w:p>
    <w:p>
      <w:pPr>
        <w:pStyle w:val="Heading2"/>
      </w:pPr>
      <w:r>
        <w:t>Erwägungen</w:t>
      </w:r>
    </w:p>
    <w:p>
      <w:r>
        <w:rPr>
          <w:b/>
        </w:rPr>
        <w:t>E. 1</w:t>
      </w:r>
    </w:p>
    <w:p>
      <w:r>
        <w:t>Der Beschwerdeführer rügt in formeller Hinsicht eine Verletzung seines Anspruchs auf rechtliches Gehör, da ihm das Obergericht die Aufforderung zur Stellungnahme nicht bzw. nicht rechtsgültig zugestellt und ihn dadurch um die Teilnahme am Rückversetzungsverfahren gebracht habe.</w:t>
      </w:r>
    </w:p>
    <w:p>
      <w:r>
        <w:rPr>
          <w:b/>
        </w:rPr>
        <w:t>E. 1.1</w:t>
      </w:r>
    </w:p>
    <w:p>
      <w:r>
        <w:t>Falls der Beschwerdeführer mangels korrekter Zustellung von dem gegen ihn laufenden Rückversetzungsverfahren keine Kenntnis hatte und deswegen seine Parteirechte nicht ausüben konnte, liegt darin jedenfalls eine Verletzung seines in Art. 29 Abs. 2 BV verankerten verfassungsmässigen Anspruchs auf rechtliches Gehör. Ob der angefochtene Entscheid diesfalls nichtig wäre, wie das Bundesgericht in dieser Konstellation auch schon angenommen hat ( BGE 129 I 361 ), kann offen bleiben, da ihn der Beschwerdeführer rechtzeitig angefochten hat.</w:t>
      </w:r>
    </w:p>
    <w:p>
      <w:r>
        <w:rPr>
          <w:b/>
        </w:rPr>
        <w:t>E. 1.2</w:t>
      </w:r>
    </w:p>
    <w:p>
      <w:r>
        <w:t>Die Eröffnung und Zustellung von "Beschlüssen, Urteilen und Anordnungen" ist in den Art. 87 ff. des Gesetzes über das Strafverfahren des Kantons Bern vom 15. März 1995 (StrV) geregelt. Nach Art. 88 Abs. 1 und 2 StrV erfolgt die Zustellung in der Regel per Post, oder, wenn es zweckmässig erscheint, durch die Polizei. Ist der Adressat nicht anwesend, ist die Mitteilung gegen Quittung einem Angehörigen oder Familiengenossen zu übergeben (Abs. 3). Die Zustellung gilt auch dann als erfolgt, wenn sie der Adressat verhindert (Abs. 4). Nach Art. 90 StrV hat die verfahrensbeteiligte Person zudem das Recht, ein Zustelldomizil in der Untersuchungsregion zu bezeichnen. Ist eine für ein Strafverfahren benötigte Person unbekannten Aufenthaltes, kann sie zu dessen Ermittlung polizeilich ausgeschrieben werden (Art. 91 StrV). Nach Art. 92 Abs. 1 StrV erfolgt die Zustellung durch einmalige Veröffentlichung im Amtsblatt, "sofern verfahrensabschliessende Beschlüsse und Entscheide sowie Vorladungen zu gerichtlichen Verhandlungen im Haupt- oder Rechtsmittelverfahren den Parteien oder allenfalls anderen Beteiligten auf ordentlichem Weg nicht zugestellt werden können".</w:t>
      </w:r>
    </w:p>
    <w:p>
      <w:r>
        <w:rPr>
          <w:b/>
        </w:rPr>
        <w:t>E. 1.3</w:t>
      </w:r>
    </w:p>
    <w:p>
      <w:r>
        <w:t>Die Strafvollzugsbehörden verfügten über eine Zustelladresse des Beschwerdeführers bei seiner Mutter. Die Abteilung Straf- und Massnahmenvollzug stellte ihm ihre Verfügung vom 30. Oktober 2007 über die bedingte Entlassung ebenso dorthin zu wie die Bewährungshelferin ihren Zwischenbericht mit Antrag auf Verwarnung vom 23. April 2008. In den Akten finden sich keine Hinweise, dass Zustellungen an diese Adresse je gescheitert wären, und der Beschwerdeführer hat sie gegenüber den Strafvollzugsbehörden nie abgemeldet. Aus dem erwähnten Zwischenbericht der Bewährungshelferin lässt sich ebenfalls nicht ableiten, dass der Beschwerdeführer diese Zustelladresse aufgegeben hätte. Daraus ergibt sich nur, dass er zwischen dem 23. März und dem 20. April 2008 nicht bei seiner Mutter wohnte, aber immerhin sporadisch den Kontakt mit ihr aufrechterhielt. Zusammenfassend ist festzuhalten, dass die zuständigen Strafvollzugsbehörden über eine Zustelladresse verfügten, welche das Obergericht leicht den Akten hätte entnehmen können. Damit waren die Voraussetzungen von Art. 92 StrV für die Zustellung von Gerichtsurkunden an den Beschwerdeführer auf dem Wege der Publikation im Amtsblatt offensichtlich nicht gegeben. Das Obergericht wäre verpflichtet gewesen, ihm Gerichtsurkunden an diese Adresse zuzustellen. Diese Zustellung wäre rechtsgültig gewesen, auch wenn er die Post bei seiner Mutter nicht abgeholt hätte (Art. 88 Abs. 4 StrV). Da die fehlerhafte Zustellung im Ergebnis dazu führte, dass der Beschwerdeführer im Rückversetzungsverfahren seine Parteirechte nicht wahrnehmen konnte, ist der angefochtene Entscheid ohne weiteres wegen Verletzung von Art. 29 Abs. 2 BV aufzuheben. Die Rüge ist begründet.</w:t>
      </w:r>
    </w:p>
    <w:p>
      <w:r>
        <w:rPr>
          <w:b/>
        </w:rPr>
        <w:t>E. 2</w:t>
      </w:r>
    </w:p>
    <w:p>
      <w:r>
        <w:t>Der angefochtene Entscheid ist somit aus diesem formellen Grund aufzuheben, ohne dass er inhaltlich zu prüfen wäre. Bei diesem Ausgang des Verfahrens sind keine Kosten zu erheben ( Art. 66 Abs. 4 BGG ), und der Kanton Bern hat den Beschwerdeführer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