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679/2022 vom 30. März 2023</w:t>
      </w:r>
    </w:p>
    <w:p>
      <w:r>
        <w:t>Bundesgericht, 2023-03-30, FR</w:t>
      </w:r>
    </w:p>
    <w:p>
      <w:r>
        <w:rPr>
          <w:b/>
        </w:rPr>
        <w:t xml:space="preserve">Quelle: </w:t>
      </w:r>
      <w:r>
        <w:t>https://mcp.opencaselaw.ch/entscheid/bger_6B_679_2022</w:t>
      </w:r>
    </w:p>
    <w:p>
      <w:r>
        <w:t>FR: TF 6B 679/2022 du 30 mars 2023</w:t>
      </w:r>
    </w:p>
    <w:p>
      <w:r>
        <w:t>IT: TF 6B 679/2022 del 30 marzo 2023</w:t>
      </w:r>
    </w:p>
    <w:p>
      <w:pPr>
        <w:pStyle w:val="Heading2"/>
      </w:pPr>
      <w:r>
        <w:t>Regeste</w:t>
      </w:r>
    </w:p>
    <w:p>
      <w:r>
        <w:t>Violation d'une obligation d'entretien | Infractions</w:t>
      </w:r>
    </w:p>
    <w:p>
      <w:pPr>
        <w:pStyle w:val="Heading2"/>
      </w:pPr>
      <w:r>
        <w:t>Erwägungen</w:t>
      </w:r>
    </w:p>
    <w:p>
      <w:r>
        <w:rPr>
          <w:b/>
        </w:rPr>
        <w:t>E. 1</w:t>
      </w:r>
    </w:p>
    <w:p>
      <w:r>
        <w:t>Invoquant les art. 9 et 29 Cst. ainsi que 20 CP, le recourant reproche à la cour cantonale de ne pas avoir donné suite à sa réquisition tendant à la mise en oeuvre d'une expertise psychiatrique le concernant.</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6B_154/2021 du 17 novembre 2021 consid. 1.1).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 et les références citées).</w:t>
      </w:r>
    </w:p>
    <w:p>
      <w:r>
        <w:rPr>
          <w:b/>
        </w:rPr>
        <w:t>E. 1.2</w:t>
      </w:r>
    </w:p>
    <w:p>
      <w:r>
        <w:t>Conformément à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arrêts 6B_892/2020 du 16 février 2021 consid. 3.3.1; 6B_727/2019 du 27 septembre 2019 consid. 2.2).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 ATF 107 IV 3 consid. 1a; arrêt 6B_445/2016 du 5 juillet 2017 consid. 5.7.1 et les référence citées).</w:t>
      </w:r>
    </w:p>
    <w:p>
      <w:r>
        <w:rPr>
          <w:b/>
        </w:rPr>
        <w:t>E. 1.3</w:t>
      </w:r>
    </w:p>
    <w:p>
      <w:r>
        <w:t>La cour cantonale s'est tout d'abord référée aux déclarations du Dr C.________, psychiatre et psychothérapeute FMH ayant suivi le recourant depuis le 17 juillet 2018, lors de son audition devant le premier juge. Elle a ensuite examiné si les troubles mis en évidence par ce médecin - état dépressif et anxieux relativement permanent - suscitaient un doute sérieux sur l'état de santé mentale du recourant, respectivement si celui-ci était susceptible d'influer sur son comportement et sur sa responsabilité pénale. Elle a relevé que le recourant avait indiqué au premier juge qu'il n'avait pas demandé la suppression de la contribution d'entretien parce qu'il voulait aider son fils et en a conclu qu'il souhaitait participer à l'entretien de celui-ci et savait avoir des obligations auxquelles il devait se soumettre. La cour cantonale a en outre rapporté que le recourant pensait que son déménagement dans un autre canton avait stoppé la pension alimentaire et qu'il avait proposé au ministère public de verser la somme de 50 fr. par mois pour répondre de ses devoirs. La cour cantonale a déduit des propos tenus par le recourant qu'on ne pouvait pas attribuer ses manquements à un défaut d'intelligence lié à ses troubles. Elle a enfin considéré que la compréhension de l'infraction de violation d'une obligation d'entretien ne requérait pas, en elle-même, des capacités cognitives importantes, puisque le jugement civil expliquait clairement ce que le débirentier devait faire et que le recourant n'avait pas dit n'avoir pas compris l'ordre de payer qui en résultait; il avait d'ailleurs contesté, avec l'aide d'un mandataire professionnel, la décision du juge civil de première instance. La cour cantonale est ainsi parvenue à la conclusion que le recourant avait parfaitement conscience de ses obligations et a, partant, rejeté la mesure d'instruction requise.</w:t>
      </w:r>
    </w:p>
    <w:p>
      <w:r>
        <w:rPr>
          <w:b/>
        </w:rPr>
        <w:t>E. 1.4</w:t>
      </w:r>
    </w:p>
    <w:p>
      <w:r>
        <w:t>Le recourant se réfère aux déclarations de son médecin-psychiatre à l'audience de première instance qui décrirait son état dépressif et anxieux relativement permanent, ainsi qu'à l'attestation de son médecin à U.________ qui confirmerait un pronostic de bipolarité de type 1. Ces avis médicaux constitueraient des indices qu'il n'aurait manifestement pas disposé, durant la période pénale visée, d'une responsabilité pénale pleine et entière. Il en résulterait à tout le moins une raison sérieuse de douter de sa responsabilité, ce qui justifierait d'ordonner une expertise. Ce faisant, le recourant reprend pour l'essentiel les objections déjà formulées devant la cour cantonale, se contentant d'opposer sa propre appréciation des avis médicaux à celle de l'autorité précédente. Procédant par affirmation, il ne démontre aucunement en quoi l'appréciation anticipée des preuves à laquelle s'est livrée la cour cantonale serait entachée d'arbitraire. Partant, son grief est irrecevable, faute de satisfaire aux exigences découlant des art. 42 al. 2 et 106 al. 2 LTF. Au demeurant, l'autorité cantonale pouvait, sans arbitraire, s'appuyer sur les seules explications du médecin-psychiatre qui a suivi le recourant à partir du 17 juillet 2018 et ne pas tenir compte du rapport écrit - pour le surplus non traduit - du Dr D.________, médecin à U.________. Ce dernier a en effet attesté de l'état de santé du recourant au mois d'avril 2021, soit près de trois ans après la période litigieuse. De même, sur la base des éléments au dossier, il n'était pas manifestement insoutenable de retenir que le recourant avait conscience de ses obligations (cf. art. 19 CP ). En effet, le jugement cantonal rapporte les déclarations circonstanciées du médecin C.________ qui a expliqué que son patient avait présenté un état dépressif et anxieux relativement permanent et bénéficié d'arrêts de travail complets du 17 juillet au 30 novembre 2018, puis du 10 février au 31 mars 2020; il a précisé que lors des phases de dépression, l'incapacité de travail de son patient était entière, mais n'a pas évoqué une altération de la conscience ou de la volonté, même s'il a concédé que la bipolarité, pour autant que le diagnostique soit retenu, pouvait entraver l'intention; en dehors de ces périodes, le patient ne présentait pas de symptômes cliniques l'empêchant de travailler. En d'autres termes, les constatations de ce médecin-psychiatre ne permettent pas de conclure à l'existence de troubles psychiques qui auraient une incidence sur la responsabilité pénale du recourant dans le cadre de la présente procédure; ils ne font pas davantage naître un doute sérieux sur celle-ci. Au surplus, les propres explications et agissements du recourant relevés par la cour cantonale vont dans ce sens (cf. ci-dessus consid. 1.3). La cour cantonale n'a donc pas violé le droit fédéral en considérant, par appréciation anticipée des preuves, qu'il n'y avait pas d'indices sérieux susceptibles de faire douter de la responsabilité du recourant et que la requête d'expertise devait être rejetée. Le grief doit dès lors être rejeté dans la mesure où il est recevable.</w:t>
      </w:r>
    </w:p>
    <w:p>
      <w:r>
        <w:rPr>
          <w:b/>
        </w:rPr>
        <w:t>E. 2</w:t>
      </w:r>
    </w:p>
    <w:p>
      <w:r>
        <w:t>Le recourant reproche à la cour cantonale d'avoir violé l' art. 217 CP . A cet égard, il se plaint également d'arbitraire dans l'établissement des faits et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rPr>
          <w:b/>
        </w:rPr>
        <w:t>E. 2.2</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2.3</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6B_1180/2020 du 10 juin 2021 consid. 3.2; 6B_540/2020 du 22 octobre 2020 consid. 2.3; 6B_714/2019 du 22 août 2019 consid. 2.2;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 ATF 126 IV 131 consid. 3a). Selon la jurisprudence, il n'est pas nécessaire que le débiteur ait eu les moyens de fournir entièrement sa prestation, il suffit qu'il ait pu fournir plus qu'il ne l'a fait et qu'il ait, dans cette mesure, violé son obligation d'entretien ( ATF 114 IV 124 consid. 3b; arrêt 6B_1017/2016 du 10 juillet 2017 consid. 2.4). Le juge pénal est lié par la contribution d'entretien fixée par le juge civil ( ATF 106 IV 36 ; plus récemment arrêts 6B_1180/2020 du 10 juin 2021 consid. 3.2; 6B_540/2020 du 22 octobre 2020 consid. 2.3).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6B_1180/2020 du 10 juin 2021 consid. 3.2; 6B_540/2020 du 22 octobre 2020 consid. 2.3; 6B_608/2017 du 12 avril 2018 consid. 4.1). Pour apprécier les moyens dont disposait le débiteur d'entretien, et donc savoir s'il avait ou aurait pu avoir la possibilité de s'acquitter de sa contribution, le juge doit procéder par analogie avec la détermination du minimum vital en application de l' art. 93 LP ( ATF 121 IV 272 consid. 3c). La détermination des ressources financières qu'aurait pu avoir le débiteur de l'entretien relève de l'administration des preuves et de l'établissement des faits (arrêts 6B_1180/2020 du 10 juin 2021 consid. 3.2; 6B_540/2020 du 22 octobre 2020 consid. 2.3).</w:t>
      </w:r>
    </w:p>
    <w:p>
      <w:r>
        <w:rPr>
          <w:b/>
        </w:rPr>
        <w:t>E. 2.4</w:t>
      </w:r>
    </w:p>
    <w:p>
      <w:r>
        <w:t>Le recourant fait d'abord grief à la cour cantonale de ne pas avoir retenu que sa pathologie l'aurait empêché de travailler, de rechercher un emploi et d'accomplir toutes démarches judiciaires. Sur ce point, la cour cantonale a relevé que le recourant avait notamment été en incapacité de travailler du 17 juillet au 30 novembre 2018. Comme le premier juge, elle a pris en compte cet élément, retenant que le recourant n'était pas en incapacité de travail du 1 er mai au 16 juillet 2018; le diagnostic posé à U.________ ne changeait rien à ce constat. A cet égard, le recourant soutient que son état de santé aurait fait obstacle au paiement d'une contribution qu'il n'aurait pas eu les moyens de servir en raison d'une incapacité de travailler, mais également d'une incapacité de faire face à ses obligations, notamment d'entreprendre des démarches en vue de la modification du jugement civil. Ce faisant, il se fonde sur une appréciation personnelle de la situation ainsi que sur des faits qu'il invoque librement. Son argumentation est dès lors pour l'essentiel irrecevable. Au demeurant, la cour cantonale a retenu que le médecin-psychiatre du recourant avait déclaré qu'en dehors des périodes d'arrêts de travail complet, son patient ne présentait pas de symptômes cliniques qui l'empêchaient de travailler. C'est dès lors sans arbitraire qu'elle a estimé que l'incapacité de travail n'était pas établie pour la période antérieure au 17 juillet 2018. Quant à la période courant du 17 juillet au 31 août 2018, l'argumentation du recourant relève d'une lecture biaisée de la motivation de la cour cantonale. Celle-ci a en effet indiqué tenir compte de son incapacité de gain en raison de l'incapacité totale de travailler attestée par son médecin-traitant. Elle en a implicitement déduit qu'au vu de son incapacité de travailler, le recourant ne disposait alors pas de moyens suffisants pour assumer son obligation d'entretien - ni n'aurait d'ailleurs pu les avoir -, de sorte qu'une condition objective de punissabilité faisait défaut. En d'autres termes, la cour cantonale a considéré que les conditions de l'infraction n'étaient pas réalisées pour cette période. Contrairement à ce qu'affirme le recourant, elle a donc pris cet élément en considération pour le paiement des contributions d'entretien dues entre le 17 juillet et le 31 août 2018. Dans cette mesure, le grief du recourant doit être écarté.</w:t>
      </w:r>
    </w:p>
    <w:p>
      <w:r>
        <w:rPr>
          <w:b/>
        </w:rPr>
        <w:t>E. 2.5</w:t>
      </w:r>
    </w:p>
    <w:p>
      <w:r>
        <w:t>Le recourant reproche ensuite à la cour cantonale de n'avoir pas établi objectivement sa situation financière, respectivement celle qui aurait pu être la sienne en faisant les efforts pouvant raisonnablement être exigés de lui. Sur ce point, la cour cantonale a retenu - comme l'avait relevé le juge civil - que le recourant n'avait entrepris aucune démarche sérieuse pour l'acquisition d'un revenu alors qu'il était apte au travail. Il n'avait ainsi produit aucune lettre de postulation ou autre pièce qui attesterait des efforts fournis pour trouver un emploi, se contentant d'expliquer au ministère public: "Je n'écris pas, je passe sur le terrain"; le recourant, qui était assisté d'un mandataire professionnel, aurait en outre pu solliciter une modification de la contribution d'entretien, voire faire une demande auprès de l'assurance-invalidité si son état de santé l'empêchait de travailler, mais il n'avait rien fait de tel. En l'espèce, comme l'a retenu sans arbitraire la cour cantonale (cf. ci-dessus consid. 2.4), le recourant n'était pas en incapacité de travail du 1 er mai au 16 juillet 2018. Considérant qu'il n'avait entrepris aucune démarche sérieuse, elle n'a pas examiné concrètement les moyens qu'il aurait ainsi pu obtenir; elle n'a d'ailleurs pas plus établi sa situation financière réelle, en particulier s'il avait effectivement perçu des revenus - que ce soit par le biais d'une activité lucrative, voire du revenu d'insertion - respectivement leur montant. A cet égard, la référence implicite au revenu hypothétique retenu par le juge civil par arrêt du 11 juillet 2014 n'est pas suffisante pour déterminer les ressources que l'intéressé aurait pu réaliser (cf. arrêt 6B_132/2018 du 12 avril 2018 consid. 6.2). En effet, près de quatre années séparent cette décision civile de la période pénale déterminante. Or on ne peut considérer, sans plus ample examen, que la situation est demeurée inchangée, ce d'autant plus que le recourant a déménagé dans l'intervalle dans un autre canton. La cour cantonale n'a dès lors pas déterminé concrètement les revenus de l'intéressé durant la période en cause, respectivement ceux qu'il aurait pu réaliser en faisant les efforts pouvant raisonnablement être exigés de lui. Elle n'a pas plus examiné ses charges, ni ne s'est prononcée sur son minimum vital. Au surplus, le fait que le recourant n'ait pas entrepris de démarches en vue d'obtenir une modification de la contribution due à l'entretien de son enfant, n'est pas pertinent pour déterminer sa situation financière. Le jugement attaqué ne permet en définitive pas de comprendre le raisonnement de la cour cantonale, ni de contrôler l'application du droit par le Tribunal fédéral. Il doit donc être annulé sur ce point et la cause renvoyée à l'autorité précédente pour qu'elle procède à l'appréciation des preuves et à l'établissement des faits conformément aux exigences de l' art. 112 al. 1 let. b LTF . Il incombera en particulier à la cour cantonale de compléter l'état de fait concernant les revenus effectivement réalisés par le recourant, voire les ressources qu'il aurait pu acquérir entre le 1 er mai et le 16 juillet 2018, ainsi que ses charges indispensables en s'inspirant des principes découlant de l' art. 93 LP (cf. ci-dessus consid. 2.3) pour cette même période. A cet égard, si une collectivité publique intervient dans les droits du créancier d'aliments - comme c'est le cas en l'espèce -, l'atteinte aux besoins du débiteur n'est pas autorisée, car la collectivité ne se trouve jamais dans une situation de détresse comparable à celle du créancier d'aliments (cf. ATF 121 IV 272 consid. 3.6 et la référence citée; arrêt 6S.113/2007 du 12 juin 2007 consid. 3.3; MARIE DOLIVO-BONVIN, in Commentaire romand, Code pénal II, 1re éd. 2017, n° 14 ad art. 217 CP ).</w:t>
      </w:r>
    </w:p>
    <w:p>
      <w:r>
        <w:rPr>
          <w:b/>
        </w:rPr>
        <w:t>E. 2.6</w:t>
      </w:r>
    </w:p>
    <w:p>
      <w:r>
        <w:t>Au vu du sort du recours, les griefs développés en lien avec la peine encourue deviennent sans objet.</w:t>
      </w:r>
    </w:p>
    <w:p>
      <w:r>
        <w:rPr>
          <w:b/>
        </w:rPr>
        <w:t>E. 3</w:t>
      </w:r>
    </w:p>
    <w:p>
      <w:r>
        <w:t>Le recours doit être partiellement admis, le jugement attaqué annulé et la cause renvoyée à l'autorité cantonale pour nouvelle décision (cf. ci-dessus consid. 2.5). Pour le reste, le recours doit être rejeté dans la mesure où il est recevable.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arrêts 6B_1180/2020 du 10 juin 2021 consid. 5; 6B_540/2020 du 22 octobre 2020 consid. 3). 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 recourant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