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6B_679/2020 vom 3. November 2020</w:t>
      </w:r>
    </w:p>
    <w:p>
      <w:r>
        <w:t>Bundesgericht, 2020-11-03, FR</w:t>
      </w:r>
    </w:p>
    <w:p>
      <w:r>
        <w:rPr>
          <w:b/>
        </w:rPr>
        <w:t xml:space="preserve">Quelle: </w:t>
      </w:r>
      <w:r>
        <w:t>https://mcp.opencaselaw.ch/entscheid/bger_6B_679_2020</w:t>
      </w:r>
    </w:p>
    <w:p>
      <w:r>
        <w:t>FR: TF 6B_679/2020 du 3 novembre 2020</w:t>
      </w:r>
    </w:p>
    <w:p>
      <w:r>
        <w:t>IT: TF 6B_679/2020 del 3 novembre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le recourant indique avoir été directement lésé par la soustraction des avoirs dont il se plaint, laquelle lui aurait causé un préjudice de 604'923 fr. 20, dont il entend demander la réparation à la personne ayant vidé son coffre.</w:t>
      </w:r>
    </w:p>
    <w:p>
      <w:r>
        <w:t>Au vu de ce qui précède, le recourant a qualité pour recourir au Tribunal fédéral - au regard de l'art. 81 al. 1 let. b ch. 5 LTF - s'agissant d'une éventuelle infraction patrimoniale dont il aurait pu être la cible.</w:t>
      </w:r>
    </w:p>
    <w:p>
      <w:r>
        <w:rPr>
          <w:b/>
        </w:rPr>
        <w:t>E. 2</w:t>
      </w:r>
    </w:p>
    <w:p>
      <w:r>
        <w:t>Le recourant reproche à la cour cantonale d'avoir établi les faits de manière arbitraire.</w:t>
      </w:r>
    </w:p>
    <w:p>
      <w:r>
        <w:rPr>
          <w:b/>
        </w:rPr>
        <w:t>E. 2.1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ss), si l'autorité précédente a arbitrairement jugé la situation probatoire claire ou a admis arbitrairement que certains faits étaient clairement établis ( ATF 143 IV 241 consid. 2.3.2 p. 244 s.). Les critiques de nature appellatoire sont irrecevables ( ATF 145 IV 154 consid. 1.1 p. 156).</w:t>
      </w:r>
    </w:p>
    <w:p>
      <w:r>
        <w:rPr>
          <w:b/>
        </w:rPr>
        <w:t>E. 2.2</w:t>
      </w:r>
    </w:p>
    <w:p>
      <w:r>
        <w:t>La cour cantonale a exposé que la banque C.________ avait insisté sur l'absence de garantie de fiabilité et d'exhaustivité de la liste des passages au coffre qu'elle avait transmise au recourant. Ainsi, depuis l'ouverture du compte concerné en juillet 2009, on ignorait quelles visites avaient exactement été faites. Quatre visites avaient probablement eu lieu à partir de 2012, dont trois en juin et août 2014. Il n'était pas possible d'exclure l'existence d'autres visites, hypothèse non dénuée de sens dans la mesure où le couple possédait des biens de valeur qu'il pouvait souhaiter retirer ou placer dans le coffre. Par ailleurs, à défaut de registre nominatif, il n'était pas possible de déterminer qui avait été l'auteur des différentes visites effectuées. S'il avait pu être établi que l'intimée s'y était rendue en 2012 puis en juin 2014, tandis que le recourant y était allé en août 2014 à deux reprises, on ignorait si l'un des deux avait pu s'y rendre à une autre date. Seules les déclarations des parties pourraient ainsi renseigner sur ces passages. Il n'était cependant pas possible de se fier aux souvenirs des intéressés. Ceux de l'intimée n'étaient pas fiables, car cette dernière ne savait plus combien de fois elle s'était rendue au coffre avec son époux, pensait - sans certitude - y avoir déposé des bijoux, cela éventuellement en février 2012, et avait donné des indications imprécises concernant la visite de juin 2014. L'état de santé de l'intimée, laquelle présentait un stress traumatique, pouvait expliquer cette confusion. Les souvenirs du recourant n'étaient pas plus fiables, car ce dernier s'était trompé, devant le ministère public, sur la date à laquelle il s'était rendu à la banque pour délivrer la procuration à son épouse, avait déclaré ne pas y être allé depuis 2009 ou 2010, mais avait prétendu, devant le juge des mesures protectrices de l'union conjugale, que son dernier passage remontait à février 2012, ce qui avait été infirmé par d'autres éléments. Par ailleurs, le recourant et l'intimée avaient livré des explications fluctuantes et contradictoires concernant le contenu du coffre, lequel n'avait pu être précisément déterminé par pièces. Pour l'autorité précédente, rien ne permettait donc d'affirmer - avec suffisamment de vraisemblance pour justifier un renvoi en jugement - que l'intimée aurait vidé le coffre, le 20 février 2012, le 25 juin 2014 ou encore à une autre date, ni de déterminer quels objets auraient pu être dérobés. Aucun acte d'instruction n'était propre à clarifier les déclarations des parties, particulièrement dans un contexte aussi conflictuel que celui dans lequel évoluaient celles-ci.</w:t>
      </w:r>
    </w:p>
    <w:p>
      <w:r>
        <w:rPr>
          <w:b/>
        </w:rPr>
        <w:t>E. 2.3</w:t>
      </w:r>
    </w:p>
    <w:p>
      <w:r>
        <w:t>Le recourant conteste qu'il aurait été impossible d'établir exactement les dates de toutes les visites du coffre effectuées ainsi que leur auteur. Il commence par présenter une chronologie des événements qui ressort également de l'arrêt attaqué, en affirmant en particulier que l'intimée s'est rendue auprès du coffre en février 2012, puis en juin 2014, ce qu'a admis la cour cantonale. Le recourant affirme ensuite, de manière purement appellatoire et, partant, irrecevable, qu'il aurait constaté en août 2014 que le coffre avait été vidé, se référant uniquement à ses propres déclarations en procédure sur ce point. Il poursuit en admettant que, selon la banque, aucun registre nominatif des visites des coffres n'était tenu, et que des visites avaient - sans garantie d'exhaustivité - eu lieu les 20 février 2012, 25 juin, 15 et 18 août 2014. Les conclusions qu'il tire de ces éléments - selon lesquelles le coffre était plein le 20 février 2012, aucune visite n'ayant eu lieu entre cette date et le 25 juin 2014 - sont cependant appellatoires, puisqu'elles reposent sur des conjectures qui n'ont pas été retenues par la cour cantonale, notamment en raison des indications de la banque relatives à l'exhaustivité des données transmises. Le recourant ne met ainsi aucunement en évidence un élément qui aurait arbitrairement été jugé clairement établi par l'autorité précédente, la prétendue soustraction d'objets dont il se plaint reposant en définitive sur ses uniques allégations.</w:t>
      </w:r>
    </w:p>
    <w:p>
      <w:r>
        <w:t>S'agissant du contenu du coffre, le recourant détaille - de manière appellatoire - les différents objets qui y auraient été déposés, pour affirmer que des valeurs d'un montant dépassant 600'000 fr. auraient été placées à cet endroit. On ne perçoit pas l'intérêt de cette argumentation, puisque le contenu exact du coffre et la valeur des objets concernés ne constituaient aucunement des éléments décisifs dans l'état de fait de la cour cantonale ayant fondé le classement de la procédure (cf. art. 97 al. 1 LTF ). Il en va de même lorsque le recourant évoque le contenu de la convention signée avec l'intimée le 28 avril 2016 concernant les effets accessoires de leur divorce ainsi que les circonstances qui l'auraient amené à accepter de ne pas faire mention - dans ce document - de la procédure pénale impliquant les époux. Cet aspect ne fait aucunement apparaître comme arbitraire l'état de fait de la cour cantonale, ayant permis à celle-ci de conclure à l'absence d'indices pointant la commission d'une infraction par l'intimée.</w:t>
      </w:r>
    </w:p>
    <w:p>
      <w:r>
        <w:t>Le grief doit ainsi être rejeté dans la mesure où il est recevable.</w:t>
      </w:r>
    </w:p>
    <w:p>
      <w:r>
        <w:rPr>
          <w:b/>
        </w:rPr>
        <w:t>E. 3</w:t>
      </w:r>
    </w:p>
    <w:p>
      <w:r>
        <w:t>Le recourant reproche à l'autorité précédente d'avoir violé son droit d'être entendu en refusant d'administrer les preuves requises.</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p. 435; 141 I 60 consid. 3.3 p. 64; 136 I 229 consid. 5.3 p. 236).</w:t>
      </w:r>
    </w:p>
    <w:p>
      <w:r>
        <w:rPr>
          <w:b/>
        </w:rPr>
        <w:t>E. 3.2</w:t>
      </w:r>
    </w:p>
    <w:p>
      <w:r>
        <w:t>L'autorité précédente a exposé que même si le recourant n'avait pas été convaincu par les explications de la banque, celle-ci avait affirmé ne disposer d'aucune autre information que celles déjà fournies. Une saisie du registre des coffres était ainsi inutile, tout comme l'audition du responsable de la salle des coffres. Ces mesures d'instruction ne seraient de toute manière pas propres à déterminer ce qui avait été déposé dans le coffre ni ce qui en aurait été retiré, ou encore à quelle date.</w:t>
      </w:r>
    </w:p>
    <w:p>
      <w:r>
        <w:rPr>
          <w:b/>
        </w:rPr>
        <w:t>E. 3.3</w:t>
      </w:r>
    </w:p>
    <w:p>
      <w:r>
        <w:t>Le recourant affirme que les mesures d'instruction requises permettraient de "déterminer les mouvements des biens" qui se trouvaient dans le coffre. On ne voit cependant pas quelles informations pourraient être, sur ce point, tirées des preuves dont l'administration est demandée, puisque le recourant prétend tout au plus qu'il serait possible de s'assurer qu'il n'aurait pas existé d'autres visites du coffre que celles déjà annoncées par la banque. Or, comme l'a relevé la cour cantonale, même s'il pouvait être établi que seules les visites déjà connues ont eu lieu durant la période concernée, cela ne permettrait aucunement de savoir ce qui était déposé à la banque ni d'appréhender quand et par qui des valeurs auraient pu être retirées. On ne distingue donc aucun arbitraire dans l'appréciation anticipée des preuves à laquelle s'est livrée l'autorité précédente.</w:t>
      </w:r>
    </w:p>
    <w:p>
      <w:r>
        <w:t>Le grief doit être rejeté.</w:t>
      </w:r>
    </w:p>
    <w:p>
      <w:r>
        <w:rPr>
          <w:b/>
        </w:rPr>
        <w:t>E. 4</w:t>
      </w:r>
    </w:p>
    <w:p>
      <w:r>
        <w:t>Le recours doit être rejeté dans la mesure où il est recevable.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